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pStyle w:val="15"/>
        <w:spacing w:beforeLines="0" w:before="93"/>
        <w:rPr>
          <w:rFonts w:ascii="Times New Roman" w:eastAsia="方正小标宋简体" w:hAnsi="Times New Roman"/>
          <w:kern w:val="2"/>
          <w:sz w:val="72"/>
          <w:szCs w:val="72"/>
        </w:rPr>
      </w:pPr>
      <w:bookmarkStart w:id="0" w:name="_Toc15377193"/>
      <w:bookmarkStart w:id="1" w:name="_Toc15378441"/>
      <w:bookmarkStart w:id="2" w:name="_Toc15396475"/>
      <w:bookmarkStart w:id="3" w:name="_Toc15306267"/>
      <w:bookmarkStart w:id="4" w:name="_Toc15396597"/>
      <w:bookmarkStart w:id="5" w:name="_Toc15377425"/>
    </w:p>
    <w:p>
      <w:pPr>
        <w:pStyle w:val="15"/>
        <w:spacing w:beforeLines="0" w:before="93"/>
        <w:rPr>
          <w:rFonts w:ascii="Times New Roman" w:eastAsia="方正小标宋简体" w:hAnsi="Times New Roman"/>
          <w:kern w:val="2"/>
          <w:sz w:val="72"/>
          <w:szCs w:val="72"/>
        </w:rPr>
      </w:pPr>
    </w:p>
    <w:p>
      <w:pPr>
        <w:pStyle w:val="15"/>
        <w:spacing w:beforeLines="0" w:before="93"/>
        <w:rPr>
          <w:rFonts w:ascii="Times New Roman" w:eastAsia="方正小标宋简体" w:hAnsi="Times New Roman"/>
          <w:kern w:val="2"/>
          <w:sz w:val="72"/>
          <w:szCs w:val="72"/>
        </w:rPr>
      </w:pPr>
    </w:p>
    <w:p>
      <w:pPr>
        <w:pStyle w:val="15"/>
        <w:spacing w:beforeLines="0" w:before="93"/>
        <w:jc w:val="center"/>
        <w:rPr>
          <w:rFonts w:ascii="Times New Roman" w:eastAsia="方正小标宋_GBK" w:hAnsi="Times New Roman"/>
          <w:kern w:val="2"/>
          <w:sz w:val="72"/>
          <w:szCs w:val="72"/>
        </w:rPr>
      </w:pPr>
      <w:r>
        <w:rPr>
          <w:rFonts w:ascii="Times New Roman" w:eastAsia="方正小标宋_GBK" w:hAnsi="Times New Roman"/>
          <w:kern w:val="2"/>
          <w:sz w:val="72"/>
          <w:szCs w:val="72"/>
        </w:rPr>
        <w:t>2025年度</w:t>
      </w:r>
    </w:p>
    <w:p>
      <w:pPr>
        <w:pStyle w:val="15"/>
        <w:spacing w:beforeLines="0" w:before="93"/>
        <w:jc w:val="center"/>
        <w:rPr>
          <w:rFonts w:ascii="Times New Roman" w:eastAsia="方正小标宋_GBK" w:hAnsi="Times New Roman"/>
          <w:kern w:val="2"/>
          <w:sz w:val="72"/>
          <w:szCs w:val="72"/>
        </w:rPr>
      </w:pPr>
      <w:r>
        <w:rPr>
          <w:rFonts w:ascii="Times New Roman" w:eastAsia="方正小标宋_GBK" w:hAnsi="Times New Roman"/>
          <w:kern w:val="2"/>
          <w:sz w:val="72"/>
          <w:szCs w:val="72"/>
        </w:rPr>
        <w:t>攀枝花市档案馆单位决算</w:t>
      </w: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pStyle w:val="15"/>
        <w:spacing w:beforeLines="0" w:before="93"/>
        <w:rPr>
          <w:rFonts w:ascii="Times New Roman" w:eastAsia="方正小标宋简体" w:hAnsi="Times New Roman"/>
          <w:kern w:val="2"/>
          <w:sz w:val="44"/>
          <w:szCs w:val="44"/>
        </w:rPr>
      </w:pPr>
    </w:p>
    <w:p>
      <w:pPr>
        <w:widowControl/>
        <w:jc w:val="center"/>
        <w:rPr>
          <w:rFonts w:eastAsia="黑体"/>
          <w:sz w:val="48"/>
          <w:szCs w:val="48"/>
        </w:rPr>
      </w:pPr>
      <w:bookmarkEnd w:id="0"/>
      <w:bookmarkEnd w:id="1"/>
      <w:bookmarkEnd w:id="2"/>
      <w:bookmarkEnd w:id="3"/>
      <w:bookmarkEnd w:id="4"/>
      <w:bookmarkEnd w:id="5"/>
      <w:r>
        <w:rPr>
          <w:rFonts w:eastAsia="黑体"/>
          <w:sz w:val="48"/>
          <w:szCs w:val="48"/>
        </w:rPr>
        <w:t>目录</w:t>
      </w:r>
    </w:p>
    <w:p>
      <w:pPr>
        <w:widowControl/>
        <w:jc w:val="center"/>
        <w:rPr>
          <w:rFonts w:eastAsia="黑体"/>
          <w:sz w:val="28"/>
          <w:szCs w:val="28"/>
        </w:rPr>
      </w:pPr>
    </w:p>
    <w:p>
      <w:pPr>
        <w:pStyle w:val="22"/>
        <w:tabs>
          <w:tab w:val="right" w:leader="dot" w:pos="8296"/>
        </w:tabs>
        <w:rPr>
          <w:rFonts w:ascii="Times New Roman" w:eastAsia="仿宋_GB2312" w:hAnsi="Times New Roman"/>
          <w:sz w:val="32"/>
          <w:szCs w:val="32"/>
        </w:rPr>
      </w:pPr>
      <w:r>
        <w:rPr>
          <w:rFonts w:ascii="Times New Roman" w:eastAsia="仿宋_GB2312" w:hAnsi="Times New Roman"/>
          <w:sz w:val="32"/>
          <w:szCs w:val="32"/>
        </w:rPr>
        <w:t>公开时间：2026年9月11</w:t>
      </w:r>
      <w:bookmarkStart w:id="6" w:name="_GoBack"/>
      <w:bookmarkEnd w:id="6"/>
      <w:r>
        <w:rPr>
          <w:rFonts w:ascii="Times New Roman" w:eastAsia="仿宋_GB2312" w:hAnsi="Times New Roman"/>
          <w:sz w:val="32"/>
          <w:szCs w:val="32"/>
        </w:rPr>
        <w:t>日</w:t>
      </w:r>
    </w:p>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第一部分 单位概况</w:t>
        <w:tab/>
        <w:t>1</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一、单位职责</w:t>
        <w:tab/>
        <w:t>1</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二、机构设置</w:t>
        <w:tab/>
        <w:t>1</w:t>
      </w:r>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第二部分2025年度单位决算情况说明</w:t>
        <w:tab/>
        <w:t>2</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一、收入支出决算总体情况说明</w:t>
        <w:tab/>
        <w:t>2</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二、收入决算情况说明</w:t>
        <w:tab/>
        <w:t>2</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三、支出决算情况说明</w:t>
        <w:tab/>
        <w:t>3</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四、财政拨款收入支出决算总体情况说明</w:t>
        <w:tab/>
        <w:t>4</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五、一般公共预算财政拨款支出决算情况说明</w:t>
        <w:tab/>
        <w:t>4</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六、一般公共预算财政拨款基本支出决算情况说明</w:t>
        <w:tab/>
        <w:t>7</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七、财政拨款“三公”经费支出决算情况说明</w:t>
        <w:tab/>
        <w:t>8</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八、政府性基金预算支出决算情况说明</w:t>
        <w:tab/>
        <w:t>9</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九、国有资本经营预算支出决算情况说明</w:t>
        <w:tab/>
        <w:t>10</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十、其他重要事项的情况说明</w:t>
        <w:tab/>
        <w:t>10</w:t>
      </w:r>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第三部分 名词解释</w:t>
        <w:tab/>
        <w:t>12</w:t>
      </w:r>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第四部分 附件</w:t>
        <w:tab/>
        <w:t>15</w:t>
      </w:r>
    </w:p>
    <w:p>
      <w:pPr>
        <w:pStyle w:val="22"/>
        <w:tabs>
          <w:tab w:val="right" w:leader="dot" w:pos="8296"/>
          <w:tab w:val="right" w:leader="middleDot" w:pos="8400"/>
        </w:tabs>
        <w:adjustRightInd w:val="0"/>
        <w:snapToGrid w:val="0"/>
        <w:spacing w:before="0" w:line="560" w:lineRule="exact"/>
        <w:jc w:val="left"/>
        <w:rPr>
          <w:rFonts w:ascii="Times New Roman" w:eastAsia="黑体" w:hAnsi="Times New Roman"/>
          <w:sz w:val="32"/>
          <w:szCs w:val="32"/>
        </w:rPr>
      </w:pPr>
      <w:r>
        <w:rPr>
          <w:rFonts w:ascii="Times New Roman" w:eastAsia="黑体" w:hAnsi="Times New Roman"/>
          <w:sz w:val="32"/>
          <w:szCs w:val="32"/>
        </w:rPr>
        <w:t>第五部分 附表</w:t>
        <w:tab/>
        <w:t>16</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一、收入支出决算总表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二、收入决算表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三、支出决算表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四、财政拨款收入支出决算总表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五、财政拨款支出决算明细表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六、一般公共预算财政拨款支出决算表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七、一般公共预算财政拨款支出决算明细表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八、一般公共预算财政拨款基本支出决算明细表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九、一般公共预算财政拨款项目支出决算表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十、政府性基金预算财政拨款收入支出决算表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十一、国有资本经营预算财政拨款收入支出决算表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十二、国有资本经营预算财政拨款支出决算表</w:t>
      </w:r>
    </w:p>
    <w:p>
      <w:pPr>
        <w:pStyle w:val="24"/>
        <w:tabs>
          <w:tab w:val="right" w:leader="dot" w:pos="8296"/>
          <w:tab w:val="right" w:leader="middleDot" w:pos="8400"/>
        </w:tabs>
        <w:adjustRightInd w:val="0"/>
        <w:snapToGrid w:val="0"/>
        <w:spacing w:line="560" w:lineRule="exact"/>
        <w:ind w:leftChars="0" w:left="0" w:firstLineChars="200" w:firstLine="640"/>
        <w:jc w:val="left"/>
        <w:rPr>
          <w:rFonts w:eastAsia="仿宋_GB2312"/>
          <w:sz w:val="32"/>
          <w:szCs w:val="32"/>
        </w:rPr>
      </w:pPr>
      <w:r>
        <w:rPr>
          <w:rFonts w:eastAsia="仿宋_GB2312"/>
          <w:sz w:val="32"/>
          <w:szCs w:val="32"/>
        </w:rPr>
        <w:t>十三、财政拨款“三公”经费支出决算表</w:t>
      </w:r>
    </w:p>
    <w:p>
      <w:pPr>
        <w:pStyle w:val="1"/>
        <w:jc w:val="center"/>
        <w:rPr>
          <w:rFonts w:eastAsia="方正小标宋简体"/>
          <w:b w:val="0"/>
        </w:rPr>
        <w:sectPr>
          <w:headerReference w:type="default" r:id="rId2"/>
          <w:footerReference w:type="default" r:id="rId3"/>
          <w:footerReference w:type="first" r:id="rId4"/>
          <w:pgSz w:w="11906" w:h="16838"/>
          <w:pgMar w:top="1440" w:right="1800" w:bottom="1440" w:left="1800" w:header="851" w:footer="992" w:gutter="0"/>
          <w:pgNumType w:start="1"/>
          <w:docGrid w:type="lines" w:linePitch="312" w:charSpace="0"/>
        </w:sectPr>
      </w:pPr>
      <w:bookmarkStart w:id="7" w:name="_Toc15396599"/>
      <w:bookmarkStart w:id="8" w:name="_Toc15377196"/>
    </w:p>
    <w:p>
      <w:pPr>
        <w:pStyle w:val="1"/>
        <w:jc w:val="center"/>
        <w:rPr>
          <w:rFonts w:eastAsia="黑体"/>
          <w:sz w:val="32"/>
          <w:szCs w:val="32"/>
        </w:rPr>
      </w:pPr>
      <w:r>
        <w:rPr>
          <w:rFonts w:eastAsia="方正小标宋简体"/>
          <w:b w:val="0"/>
        </w:rPr>
        <w:t>第一部分</w:t>
      </w:r>
      <w:r>
        <w:rPr>
          <w:rStyle w:val="1Char"/>
          <w:rFonts w:eastAsia="方正小标宋简体"/>
        </w:rPr>
        <w:t>单位概况</w:t>
      </w:r>
      <w:bookmarkEnd w:id="7"/>
      <w:bookmarkEnd w:id="8"/>
    </w:p>
    <w:p>
      <w:pPr>
        <w:pStyle w:val="2"/>
        <w:ind w:firstLineChars="200" w:firstLine="640"/>
        <w:rPr>
          <w:rFonts w:ascii="Times New Roman" w:eastAsia="方正仿宋_GBK" w:hAnsi="Times New Roman"/>
          <w:sz w:val="33"/>
          <w:szCs w:val="33"/>
        </w:rPr>
      </w:pPr>
      <w:r>
        <w:rPr>
          <w:rFonts w:ascii="Times New Roman" w:eastAsia="黑体" w:hAnsi="Times New Roman"/>
          <w:b w:val="0"/>
        </w:rPr>
        <w:t>一、单位职责</w:t>
      </w:r>
    </w:p>
    <w:p>
      <w:pPr>
        <w:pStyle w:val="2"/>
        <w:ind w:firstLineChars="200" w:firstLine="640"/>
        <w:rPr>
          <w:rFonts w:ascii="Times New Roman" w:eastAsia="仿宋_GB2312" w:hAnsi="Times New Roman"/>
        </w:rPr>
      </w:pPr>
      <w:r>
        <w:rPr>
          <w:rFonts w:ascii="Times New Roman" w:eastAsia="仿宋_GB2312" w:hAnsi="Times New Roman"/>
          <w:b w:val="0"/>
        </w:rPr>
        <w:t>根据事业单位法人证书宗旨和业务范围的登记，攀枝花市档案馆（以下简称市档案馆）的职能有：收集保存提供利用档案资料，促进社会经济文化科学发展。（档案、资料）收集、整理、保管、鉴定；档案资料信息资源的开发利用；档案资料网络系统（设计、施工、维护、管理）；档案资料数字化处理；档案学研究；档案资料编纂；知识培训与社会教育。</w:t>
      </w:r>
    </w:p>
    <w:p>
      <w:pPr>
        <w:pStyle w:val="2"/>
        <w:ind w:firstLineChars="200" w:firstLine="640"/>
        <w:rPr>
          <w:rStyle w:val="2Char"/>
          <w:rFonts w:ascii="Times New Roman" w:hAnsi="Times New Roman"/>
          <w:b w:val="0"/>
          <w:bCs w:val="0"/>
        </w:rPr>
      </w:pPr>
      <w:bookmarkStart w:id="9" w:name="_Toc15396601"/>
      <w:bookmarkStart w:id="10" w:name="_Toc15377200"/>
      <w:r>
        <w:rPr>
          <w:rFonts w:ascii="Times New Roman" w:eastAsia="黑体" w:hAnsi="Times New Roman"/>
          <w:b w:val="0"/>
        </w:rPr>
        <w:t>二、</w:t>
      </w:r>
      <w:r>
        <w:rPr>
          <w:rFonts w:ascii="Times New Roman" w:eastAsia="黑体" w:hAnsi="Times New Roman"/>
          <w:b w:val="0"/>
          <w:bCs w:val="0"/>
        </w:rPr>
        <w:t>机</w:t>
      </w:r>
      <w:r>
        <w:rPr>
          <w:rStyle w:val="2Char"/>
          <w:rFonts w:ascii="Times New Roman" w:eastAsia="黑体" w:hAnsi="Times New Roman"/>
          <w:b w:val="0"/>
          <w:bCs w:val="0"/>
        </w:rPr>
        <w:t>构设置</w:t>
      </w:r>
      <w:bookmarkEnd w:id="9"/>
      <w:bookmarkEnd w:id="10"/>
    </w:p>
    <w:p>
      <w:pPr>
        <w:widowControl w:val="0"/>
        <w:suppressAutoHyphens/>
        <w:spacing w:line="576" w:lineRule="exact"/>
        <w:ind w:firstLineChars="200" w:firstLine="640"/>
        <w:rPr>
          <w:rFonts w:eastAsia="仿宋_GB2312"/>
          <w:bCs/>
          <w:sz w:val="32"/>
          <w:szCs w:val="32"/>
        </w:rPr>
      </w:pPr>
      <w:r>
        <w:rPr>
          <w:rFonts w:eastAsia="仿宋_GB2312"/>
          <w:bCs/>
          <w:sz w:val="32"/>
          <w:szCs w:val="32"/>
        </w:rPr>
        <w:t>市档案馆为1个一级预算单位（参照公务员法管理的事业单位）。下属二级单位0个，其中行政单位0个，参照公务员法管理的事业单位0个，其他事业单位0个。</w:t>
      </w:r>
    </w:p>
    <w:p>
      <w:pPr>
        <w:widowControl w:val="0"/>
        <w:suppressAutoHyphens/>
        <w:spacing w:line="576" w:lineRule="exact"/>
        <w:ind w:firstLineChars="200" w:firstLine="640"/>
        <w:rPr>
          <w:rFonts w:eastAsia="方正小标宋简体"/>
        </w:rPr>
      </w:pPr>
      <w:bookmarkStart w:id="11" w:name="_Toc15377432"/>
      <w:bookmarkStart w:id="12" w:name="_Toc15377201"/>
      <w:bookmarkStart w:id="13" w:name="_Toc15378448"/>
      <w:bookmarkStart w:id="14" w:name="_Toc15306275"/>
      <w:r>
        <w:rPr>
          <w:rFonts w:eastAsia="仿宋_GB2312"/>
          <w:bCs/>
          <w:sz w:val="32"/>
          <w:szCs w:val="32"/>
        </w:rPr>
        <w:t>纳入2025年度单位决算编制范围的二级预算单位0个。</w:t>
      </w:r>
      <w:bookmarkStart w:id="15" w:name="_Toc15396602"/>
      <w:bookmarkStart w:id="16" w:name="_Toc15377204"/>
      <w:bookmarkEnd w:id="11"/>
      <w:bookmarkEnd w:id="12"/>
      <w:bookmarkEnd w:id="13"/>
      <w:bookmarkEnd w:id="14"/>
    </w:p>
    <w:p>
      <w:pPr>
        <w:pStyle w:val="1"/>
        <w:rPr>
          <w:rFonts w:eastAsia="方正小标宋简体"/>
          <w:b w:val="0"/>
        </w:rPr>
      </w:pPr>
    </w:p>
    <w:p>
      <w:pPr>
        <w:rPr>
          <w:rFonts w:eastAsia="方正小标宋简体"/>
        </w:rPr>
      </w:pPr>
    </w:p>
    <w:p>
      <w:pPr>
        <w:pStyle w:val="15"/>
        <w:spacing w:beforeLines="0" w:before="93"/>
        <w:rPr>
          <w:rFonts w:ascii="Times New Roman" w:hAnsi="Times New Roman"/>
        </w:rPr>
      </w:pPr>
    </w:p>
    <w:p>
      <w:pPr>
        <w:pStyle w:val="1"/>
        <w:jc w:val="center"/>
        <w:rPr>
          <w:rFonts w:eastAsia="方正小标宋简体"/>
          <w:b w:val="0"/>
        </w:rPr>
      </w:pPr>
      <w:r>
        <w:rPr>
          <w:rFonts w:eastAsia="方正小标宋简体"/>
          <w:b w:val="0"/>
        </w:rPr>
        <w:t>第二部分2025年度单位决算情况说明</w:t>
      </w:r>
      <w:bookmarkEnd w:id="15"/>
      <w:bookmarkEnd w:id="16"/>
    </w:p>
    <w:p/>
    <w:p>
      <w:pPr>
        <w:pStyle w:val="32"/>
        <w:spacing w:line="600" w:lineRule="exact"/>
        <w:outlineLvl w:val="1"/>
        <w:rPr>
          <w:rStyle w:val="2Char"/>
          <w:rFonts w:ascii="Times New Roman" w:eastAsia="黑体" w:hAnsi="Times New Roman"/>
          <w:b w:val="0"/>
        </w:rPr>
      </w:pPr>
      <w:bookmarkStart w:id="17" w:name="_Toc15377205"/>
      <w:bookmarkStart w:id="18" w:name="_Toc15396603"/>
      <w:r>
        <w:rPr>
          <w:rFonts w:eastAsia="黑体"/>
          <w:sz w:val="32"/>
          <w:szCs w:val="32"/>
        </w:rPr>
        <w:t>一、收</w:t>
      </w:r>
      <w:r>
        <w:rPr>
          <w:rStyle w:val="2Char"/>
          <w:rFonts w:ascii="Times New Roman" w:eastAsia="黑体" w:hAnsi="Times New Roman"/>
          <w:b w:val="0"/>
        </w:rPr>
        <w:t>入支出决算总</w:t>
      </w:r>
      <w:bookmarkEnd w:id="17"/>
      <w:bookmarkEnd w:id="18"/>
      <w:r>
        <w:rPr>
          <w:rStyle w:val="2Char"/>
          <w:rFonts w:ascii="Times New Roman" w:eastAsia="黑体" w:hAnsi="Times New Roman"/>
          <w:b w:val="0"/>
        </w:rPr>
        <w:t>体情况说明</w:t>
      </w:r>
    </w:p>
    <w:p>
      <w:pPr>
        <w:pStyle w:val="32"/>
        <w:spacing w:line="600" w:lineRule="exact"/>
        <w:outlineLvl w:val="1"/>
        <w:rPr>
          <w:rFonts w:eastAsia="仿宋_GB2312"/>
          <w:sz w:val="32"/>
          <w:szCs w:val="32"/>
        </w:rPr>
      </w:pPr>
      <w:r>
        <w:rPr>
          <w:rFonts w:eastAsia="仿宋_GB2312"/>
          <w:sz w:val="32"/>
          <w:szCs w:val="32"/>
        </w:rPr>
        <w:t>2025年度收入、支出总计均为719.61万元。与2024年度相比，收入、支出总计均减少96.68万元，下降11.8%。主要变动原因是项目经费减少，较2024年度清偿以前年度欠款支出减少。</w:t>
      </w:r>
    </w:p>
    <w:p>
      <w:pPr>
        <w:pStyle w:val="32"/>
        <w:outlineLvl w:val="1"/>
        <w:rPr>
          <w:rFonts w:eastAsia="仿宋_GB2312"/>
          <w:sz w:val="32"/>
          <w:szCs w:val="32"/>
        </w:rPr>
      </w:pPr>
      <w:r>
        <w:rPr>
          <w:rFonts w:eastAsia="仿宋_GB2312"/>
          <w:sz w:val="32"/>
          <w:szCs w:val="32"/>
        </w:rPr>
        <w:drawing>
          <wp:inline distT="0" distB="0" distL="85723" distR="85723">
            <wp:extent cx="4581455" cy="2752683"/>
            <wp:effectExtent l="0" t="0" r="0" b="0"/>
            <wp:docPr id="7" name="图片"/>
            <wp:cNvGraphicFramePr>
              <a:graphicFrameLocks noChangeAspect="1"/>
            </wp:cNvGraphicFramePr>
            <a:graphic>
              <a:graphicData uri="http://schemas.openxmlformats.org/drawingml/2006/picture">
                <pic:pic>
                  <pic:nvPicPr>
                    <pic:cNvPr id="9" name="图片 9"/>
                    <pic:cNvPicPr/>
                  </pic:nvPicPr>
                  <pic:blipFill>
                    <a:blip r:embed="rId6"/>
                    <a:stretch>
                      <a:fillRect/>
                    </a:stretch>
                  </pic:blipFill>
                  <pic:spPr>
                    <a:xfrm rot="0">
                      <a:off x="0" y="0"/>
                      <a:ext cx="4581455" cy="2752683"/>
                    </a:xfrm>
                    <a:prstGeom prst="rect"/>
                    <a:noFill/>
                    <a:ln w="9525" cmpd="sng" cap="flat">
                      <a:noFill/>
                      <a:prstDash val="solid"/>
                      <a:miter/>
                    </a:ln>
                  </pic:spPr>
                </pic:pic>
              </a:graphicData>
            </a:graphic>
          </wp:inline>
        </w:drawing>
      </w:r>
    </w:p>
    <w:p>
      <w:pPr>
        <w:ind w:firstLineChars="200" w:firstLine="640"/>
        <w:rPr>
          <w:rFonts w:eastAsia="仿宋_GB2312"/>
          <w:sz w:val="32"/>
          <w:szCs w:val="32"/>
        </w:rPr>
      </w:pPr>
      <w:r>
        <w:rPr>
          <w:rFonts w:eastAsia="仿宋_GB2312"/>
          <w:sz w:val="32"/>
          <w:szCs w:val="32"/>
        </w:rPr>
        <w:t>（图1：收入、支出决算总计变动情况图）（柱状图）</w:t>
      </w:r>
    </w:p>
    <w:p>
      <w:pPr>
        <w:pStyle w:val="32"/>
        <w:spacing w:line="600" w:lineRule="exact"/>
        <w:outlineLvl w:val="1"/>
        <w:rPr>
          <w:rFonts w:eastAsia="仿宋_GB2312"/>
          <w:sz w:val="32"/>
          <w:szCs w:val="32"/>
        </w:rPr>
      </w:pPr>
      <w:bookmarkStart w:id="19" w:name="_Toc15377206"/>
      <w:bookmarkStart w:id="20" w:name="_Toc15396604"/>
      <w:r>
        <w:rPr>
          <w:rFonts w:eastAsia="黑体"/>
          <w:sz w:val="32"/>
          <w:szCs w:val="32"/>
        </w:rPr>
        <w:t>二、收入决算情况说明</w:t>
      </w:r>
      <w:bookmarkEnd w:id="19"/>
      <w:bookmarkEnd w:id="20"/>
    </w:p>
    <w:p>
      <w:pPr>
        <w:pStyle w:val="32"/>
        <w:spacing w:line="600" w:lineRule="exact"/>
        <w:jc w:val="left"/>
        <w:outlineLvl w:val="1"/>
        <w:rPr>
          <w:rFonts w:eastAsia="仿宋_GB2312"/>
          <w:sz w:val="32"/>
          <w:szCs w:val="32"/>
        </w:rPr>
      </w:pPr>
      <w:r>
        <w:rPr>
          <w:rFonts w:eastAsia="仿宋_GB2312"/>
          <w:sz w:val="32"/>
          <w:szCs w:val="32"/>
        </w:rPr>
        <w:t>2025年度本年收入合计719.61万元，其中：一般公共预算财政拨款收入719.61万元，占100%；政府性基金预算财政拨款收入0万元，占0%；国有资本经营预算财政拨款收入0万元，占0%；上级补助收入0万元，占0%；事业收入0万元，占0%；经营收入0万元，占0%；附属单位上缴收入0万元，占0%；其他收入0万元，占0%。</w:t>
      </w:r>
    </w:p>
    <w:p>
      <w:pPr>
        <w:pStyle w:val="32"/>
        <w:spacing w:line="600" w:lineRule="exact"/>
        <w:jc w:val="left"/>
        <w:outlineLvl w:val="1"/>
        <w:rPr>
          <w:rFonts w:eastAsia="仿宋_GB2312"/>
          <w:sz w:val="32"/>
          <w:szCs w:val="32"/>
        </w:rPr>
      </w:pPr>
      <w:r>
        <w:rPr>
          <w:rFonts w:eastAsia="仿宋_GB2312"/>
          <w:sz w:val="32"/>
          <w:szCs w:val="32"/>
        </w:rPr>
        <w:br w:type="page"/>
      </w:r>
    </w:p>
    <w:p>
      <w:pPr>
        <w:pStyle w:val="32"/>
        <w:jc w:val="left"/>
        <w:outlineLvl w:val="1"/>
        <w:rPr>
          <w:rFonts w:eastAsia="仿宋_GB2312"/>
          <w:b/>
          <w:bCs/>
          <w:sz w:val="32"/>
          <w:szCs w:val="32"/>
        </w:rPr>
      </w:pPr>
      <w:r>
        <w:rPr>
          <w:rFonts w:eastAsia="仿宋_GB2312"/>
          <w:b/>
          <w:bCs/>
          <w:sz w:val="32"/>
          <w:szCs w:val="32"/>
        </w:rPr>
        <w:drawing>
          <wp:inline distT="0" distB="0" distL="85723" distR="85723">
            <wp:extent cx="4581455" cy="2895556"/>
            <wp:effectExtent l="0" t="0" r="0" b="0"/>
            <wp:docPr id="10" name="图片"/>
            <wp:cNvGraphicFramePr>
              <a:graphicFrameLocks noChangeAspect="1"/>
            </wp:cNvGraphicFramePr>
            <a:graphic>
              <a:graphicData uri="http://schemas.openxmlformats.org/drawingml/2006/picture">
                <pic:pic>
                  <pic:nvPicPr>
                    <pic:cNvPr id="12" name="图片 12"/>
                    <pic:cNvPicPr/>
                  </pic:nvPicPr>
                  <pic:blipFill>
                    <a:blip r:embed="rId7"/>
                    <a:stretch>
                      <a:fillRect/>
                    </a:stretch>
                  </pic:blipFill>
                  <pic:spPr>
                    <a:xfrm rot="0">
                      <a:off x="0" y="0"/>
                      <a:ext cx="4581455" cy="2895556"/>
                    </a:xfrm>
                    <a:prstGeom prst="rect"/>
                    <a:noFill/>
                    <a:ln w="9525" cmpd="sng" cap="flat">
                      <a:noFill/>
                      <a:prstDash val="solid"/>
                      <a:miter/>
                    </a:ln>
                  </pic:spPr>
                </pic:pic>
              </a:graphicData>
            </a:graphic>
          </wp:inline>
        </w:drawing>
      </w:r>
    </w:p>
    <w:p>
      <w:pPr>
        <w:ind w:firstLineChars="250" w:firstLine="800"/>
        <w:jc w:val="center"/>
        <w:rPr>
          <w:rFonts w:eastAsia="仿宋_GB2312"/>
          <w:sz w:val="32"/>
          <w:szCs w:val="32"/>
        </w:rPr>
      </w:pPr>
      <w:r>
        <w:rPr>
          <w:rFonts w:eastAsia="仿宋_GB2312"/>
          <w:sz w:val="32"/>
          <w:szCs w:val="32"/>
        </w:rPr>
        <w:t>（图2：收入决算结构图）（饼状图）</w:t>
      </w:r>
    </w:p>
    <w:p>
      <w:pPr>
        <w:pStyle w:val="32"/>
        <w:spacing w:line="600" w:lineRule="exact"/>
        <w:outlineLvl w:val="1"/>
        <w:rPr>
          <w:rStyle w:val="2Char"/>
          <w:rFonts w:ascii="Times New Roman" w:eastAsia="黑体" w:hAnsi="Times New Roman"/>
          <w:b w:val="0"/>
        </w:rPr>
      </w:pPr>
      <w:bookmarkStart w:id="21" w:name="_Toc15396605"/>
      <w:bookmarkStart w:id="22" w:name="_Toc15377207"/>
      <w:r>
        <w:rPr>
          <w:rFonts w:eastAsia="黑体"/>
          <w:sz w:val="32"/>
          <w:szCs w:val="32"/>
        </w:rPr>
        <w:t>三、支</w:t>
      </w:r>
      <w:r>
        <w:rPr>
          <w:rStyle w:val="2Char"/>
          <w:rFonts w:ascii="Times New Roman" w:eastAsia="黑体" w:hAnsi="Times New Roman"/>
          <w:b w:val="0"/>
        </w:rPr>
        <w:t>出决算情况说明</w:t>
      </w:r>
      <w:bookmarkEnd w:id="21"/>
      <w:bookmarkEnd w:id="22"/>
    </w:p>
    <w:p>
      <w:pPr>
        <w:pStyle w:val="32"/>
        <w:spacing w:line="600" w:lineRule="exact"/>
        <w:jc w:val="left"/>
        <w:outlineLvl w:val="1"/>
        <w:rPr>
          <w:rFonts w:eastAsia="仿宋_GB2312"/>
          <w:sz w:val="32"/>
          <w:szCs w:val="32"/>
        </w:rPr>
      </w:pPr>
      <w:r>
        <w:rPr>
          <w:rFonts w:eastAsia="仿宋_GB2312"/>
          <w:sz w:val="32"/>
          <w:szCs w:val="32"/>
        </w:rPr>
        <w:t>2025年度本年支出合计719.61万元，其中：基本支出685.31万元，占95.2%；项目支出34.30万元，占4.8%；上缴上级支出0万元，占0%；经营支出0万元，占0%；对附属单位补助支出0万元，占0%。</w:t>
      </w:r>
    </w:p>
    <w:p>
      <w:pPr>
        <w:ind w:firstLineChars="250" w:firstLine="800"/>
        <w:rPr>
          <w:rFonts w:eastAsia="仿宋_GB2312"/>
          <w:sz w:val="32"/>
          <w:szCs w:val="32"/>
        </w:rPr>
      </w:pPr>
      <w:r>
        <w:rPr>
          <w:rFonts w:eastAsia="仿宋_GB2312"/>
          <w:sz w:val="32"/>
          <w:szCs w:val="32"/>
        </w:rPr>
        <w:drawing>
          <wp:inline distT="0" distB="0" distL="85723" distR="85723">
            <wp:extent cx="4731480" cy="2842823"/>
            <wp:effectExtent l="0" t="0" r="9" b="36"/>
            <wp:docPr id="13" name="图片"/>
            <wp:cNvGraphicFramePr>
              <a:graphicFrameLocks noChangeAspect="1"/>
            </wp:cNvGraphicFramePr>
            <a:graphic>
              <a:graphicData uri="http://schemas.openxmlformats.org/drawingml/2006/picture">
                <pic:pic>
                  <pic:nvPicPr>
                    <pic:cNvPr id="15" name="图片 15"/>
                    <pic:cNvPicPr/>
                  </pic:nvPicPr>
                  <pic:blipFill>
                    <a:blip r:embed="rId8"/>
                    <a:stretch>
                      <a:fillRect/>
                    </a:stretch>
                  </pic:blipFill>
                  <pic:spPr>
                    <a:xfrm rot="0">
                      <a:off x="0" y="0"/>
                      <a:ext cx="4731480" cy="2842823"/>
                    </a:xfrm>
                    <a:prstGeom prst="rect"/>
                    <a:noFill/>
                    <a:ln w="9525" cmpd="sng" cap="flat">
                      <a:noFill/>
                      <a:prstDash val="solid"/>
                      <a:miter/>
                    </a:ln>
                  </pic:spPr>
                </pic:pic>
              </a:graphicData>
            </a:graphic>
          </wp:inline>
        </w:drawing>
      </w:r>
    </w:p>
    <w:p>
      <w:pPr>
        <w:ind w:firstLineChars="250" w:firstLine="800"/>
        <w:jc w:val="center"/>
        <w:rPr>
          <w:rFonts w:eastAsia="仿宋_GB2312"/>
          <w:sz w:val="32"/>
          <w:szCs w:val="32"/>
        </w:rPr>
      </w:pPr>
      <w:r>
        <w:rPr>
          <w:rFonts w:eastAsia="仿宋_GB2312"/>
          <w:sz w:val="32"/>
          <w:szCs w:val="32"/>
        </w:rPr>
        <w:t>（图3：支出决算结构图）（饼状图）</w:t>
      </w:r>
    </w:p>
    <w:p>
      <w:pPr>
        <w:spacing w:line="600" w:lineRule="exact"/>
        <w:ind w:firstLineChars="200" w:firstLine="640"/>
        <w:outlineLvl w:val="1"/>
        <w:rPr>
          <w:rStyle w:val="2Char"/>
          <w:rFonts w:ascii="Times New Roman" w:eastAsia="黑体" w:hAnsi="Times New Roman"/>
          <w:b w:val="0"/>
        </w:rPr>
      </w:pPr>
      <w:bookmarkStart w:id="23" w:name="_Toc15396606"/>
      <w:bookmarkStart w:id="24" w:name="_Toc15377208"/>
      <w:r>
        <w:rPr>
          <w:rFonts w:eastAsia="黑体"/>
          <w:sz w:val="32"/>
          <w:szCs w:val="32"/>
        </w:rPr>
        <w:t>四、财</w:t>
      </w:r>
      <w:r>
        <w:rPr>
          <w:rStyle w:val="2Char"/>
          <w:rFonts w:ascii="Times New Roman" w:eastAsia="黑体" w:hAnsi="Times New Roman"/>
          <w:b w:val="0"/>
        </w:rPr>
        <w:t>政拨款收入支出决算总体情况说明</w:t>
      </w:r>
      <w:bookmarkEnd w:id="23"/>
      <w:bookmarkEnd w:id="24"/>
    </w:p>
    <w:p>
      <w:pPr>
        <w:pStyle w:val="32"/>
        <w:spacing w:line="600" w:lineRule="exact"/>
        <w:outlineLvl w:val="1"/>
        <w:rPr>
          <w:rFonts w:eastAsia="仿宋_GB2312"/>
          <w:sz w:val="32"/>
          <w:szCs w:val="32"/>
        </w:rPr>
      </w:pPr>
      <w:r>
        <w:rPr>
          <w:rFonts w:eastAsia="仿宋_GB2312"/>
          <w:sz w:val="32"/>
          <w:szCs w:val="32"/>
        </w:rPr>
        <w:t>2025年度财政拨款收入、支出总计均为719.61万元。与2024年度相比，财政拨款收入总计、支出总计各减少96.68万元，下降11.8%。主要变动原因是项目经费减少，较2024年度清偿以前年度欠款支出减少。</w:t>
      </w:r>
    </w:p>
    <w:p>
      <w:pPr>
        <w:pStyle w:val="15"/>
        <w:spacing w:beforeLines="0" w:before="93"/>
        <w:jc w:val="center"/>
        <w:rPr>
          <w:rFonts w:ascii="Times New Roman" w:hAnsi="Times New Roman"/>
          <w:sz w:val="32"/>
          <w:szCs w:val="32"/>
        </w:rPr>
      </w:pPr>
      <w:r>
        <w:rPr>
          <w:rFonts w:ascii="Times New Roman" w:hAnsi="Times New Roman"/>
          <w:sz w:val="32"/>
          <w:szCs w:val="32"/>
        </w:rPr>
        <w:drawing>
          <wp:inline distT="0" distB="0" distL="85723" distR="85723">
            <wp:extent cx="4581455" cy="2752683"/>
            <wp:effectExtent l="0" t="0" r="0" b="0"/>
            <wp:docPr id="16" name="图片"/>
            <wp:cNvGraphicFramePr>
              <a:graphicFrameLocks noChangeAspect="1"/>
            </wp:cNvGraphicFramePr>
            <a:graphic>
              <a:graphicData uri="http://schemas.openxmlformats.org/drawingml/2006/picture">
                <pic:pic>
                  <pic:nvPicPr>
                    <pic:cNvPr id="17" name="图片 17"/>
                    <pic:cNvPicPr/>
                  </pic:nvPicPr>
                  <pic:blipFill>
                    <a:blip r:embed="rId9"/>
                    <a:stretch>
                      <a:fillRect/>
                    </a:stretch>
                  </pic:blipFill>
                  <pic:spPr>
                    <a:xfrm rot="0">
                      <a:off x="0" y="0"/>
                      <a:ext cx="4581455" cy="2752683"/>
                    </a:xfrm>
                    <a:prstGeom prst="rect"/>
                    <a:noFill/>
                    <a:ln w="9525" cmpd="sng" cap="flat">
                      <a:noFill/>
                      <a:prstDash val="solid"/>
                      <a:miter/>
                    </a:ln>
                  </pic:spPr>
                </pic:pic>
              </a:graphicData>
            </a:graphic>
          </wp:inline>
        </w:drawing>
      </w:r>
    </w:p>
    <w:p>
      <w:pPr>
        <w:spacing w:line="600" w:lineRule="exact"/>
        <w:ind w:firstLineChars="200" w:firstLine="640"/>
        <w:rPr>
          <w:rFonts w:eastAsia="仿宋_GB2312"/>
          <w:sz w:val="32"/>
          <w:szCs w:val="32"/>
        </w:rPr>
      </w:pPr>
      <w:r>
        <w:rPr>
          <w:rFonts w:eastAsia="仿宋_GB2312"/>
          <w:sz w:val="32"/>
          <w:szCs w:val="32"/>
        </w:rPr>
        <w:t>（图4：财政拨款收、支决算总计变动情况）（柱状图）</w:t>
      </w:r>
    </w:p>
    <w:p>
      <w:pPr>
        <w:spacing w:line="600" w:lineRule="exact"/>
        <w:ind w:firstLineChars="200" w:firstLine="640"/>
        <w:outlineLvl w:val="1"/>
        <w:rPr>
          <w:rStyle w:val="2Char"/>
          <w:rFonts w:ascii="Times New Roman" w:eastAsia="黑体" w:hAnsi="Times New Roman"/>
          <w:b w:val="0"/>
        </w:rPr>
      </w:pPr>
      <w:bookmarkStart w:id="25" w:name="_Toc15377209"/>
      <w:bookmarkStart w:id="26" w:name="_Toc15396607"/>
      <w:r>
        <w:rPr>
          <w:rFonts w:eastAsia="黑体"/>
          <w:sz w:val="32"/>
          <w:szCs w:val="32"/>
        </w:rPr>
        <w:t>五、一</w:t>
      </w:r>
      <w:r>
        <w:rPr>
          <w:rStyle w:val="2Char"/>
          <w:rFonts w:ascii="Times New Roman" w:eastAsia="黑体" w:hAnsi="Times New Roman"/>
          <w:b w:val="0"/>
        </w:rPr>
        <w:t>般公共预算财政拨款支出决算情况说明</w:t>
      </w:r>
      <w:bookmarkEnd w:id="25"/>
      <w:bookmarkEnd w:id="26"/>
    </w:p>
    <w:p>
      <w:pPr>
        <w:spacing w:line="600" w:lineRule="exact"/>
        <w:ind w:firstLineChars="200" w:firstLine="640"/>
        <w:outlineLvl w:val="2"/>
        <w:rPr>
          <w:rFonts w:eastAsia="楷体_GB2312"/>
          <w:b/>
          <w:sz w:val="32"/>
          <w:szCs w:val="32"/>
        </w:rPr>
      </w:pPr>
      <w:bookmarkStart w:id="27" w:name="_Toc15377210"/>
      <w:r>
        <w:rPr>
          <w:rFonts w:eastAsia="楷体_GB2312"/>
          <w:b/>
          <w:sz w:val="32"/>
          <w:szCs w:val="32"/>
        </w:rPr>
        <w:t>（一）一般公共预算财政拨款支出决算总体情况</w:t>
      </w:r>
      <w:bookmarkEnd w:id="27"/>
    </w:p>
    <w:p>
      <w:pPr>
        <w:pStyle w:val="32"/>
        <w:spacing w:line="600" w:lineRule="exact"/>
        <w:outlineLvl w:val="1"/>
        <w:rPr>
          <w:rFonts w:eastAsia="仿宋_GB2312"/>
          <w:sz w:val="32"/>
          <w:szCs w:val="32"/>
        </w:rPr>
      </w:pPr>
      <w:r>
        <w:rPr>
          <w:rFonts w:eastAsia="仿宋_GB2312"/>
          <w:sz w:val="32"/>
          <w:szCs w:val="32"/>
        </w:rPr>
        <w:t>2025年度一般公共预算财政拨款支出719.61万元，占本年支出合计的100%。与2024年度相比，一般公共预算财政拨款支出减少96.68万元，下降11.8%。主要变动原因是项目经费减少，较2024年度清偿以前年度欠款支出减少。</w:t>
      </w:r>
    </w:p>
    <w:p>
      <w:pPr>
        <w:ind w:firstLine="641"/>
        <w:rPr>
          <w:rFonts w:eastAsia="仿宋_GB2312"/>
          <w:sz w:val="32"/>
          <w:szCs w:val="32"/>
        </w:rPr>
      </w:pPr>
      <w:r>
        <w:rPr>
          <w:rFonts w:eastAsia="仿宋_GB2312"/>
          <w:sz w:val="32"/>
          <w:szCs w:val="32"/>
        </w:rPr>
        <w:drawing>
          <wp:inline distT="0" distB="0" distL="85723" distR="85723">
            <wp:extent cx="4426975" cy="2659866"/>
            <wp:effectExtent l="0" t="0" r="13" b="45"/>
            <wp:docPr id="18" name="图片"/>
            <wp:cNvGraphicFramePr>
              <a:graphicFrameLocks noChangeAspect="1"/>
            </wp:cNvGraphicFramePr>
            <a:graphic>
              <a:graphicData uri="http://schemas.openxmlformats.org/drawingml/2006/picture">
                <pic:pic>
                  <pic:nvPicPr>
                    <pic:cNvPr id="20" name="图片 20"/>
                    <pic:cNvPicPr/>
                  </pic:nvPicPr>
                  <pic:blipFill>
                    <a:blip r:embed="rId10"/>
                    <a:stretch>
                      <a:fillRect/>
                    </a:stretch>
                  </pic:blipFill>
                  <pic:spPr>
                    <a:xfrm rot="0">
                      <a:off x="0" y="0"/>
                      <a:ext cx="4426975" cy="2659866"/>
                    </a:xfrm>
                    <a:prstGeom prst="rect"/>
                    <a:noFill/>
                    <a:ln w="9525" cmpd="sng" cap="flat">
                      <a:noFill/>
                      <a:prstDash val="solid"/>
                      <a:miter/>
                    </a:ln>
                  </pic:spPr>
                </pic:pic>
              </a:graphicData>
            </a:graphic>
          </wp:inline>
        </w:drawing>
      </w:r>
    </w:p>
    <w:p>
      <w:pPr>
        <w:spacing w:line="600" w:lineRule="exact"/>
        <w:ind w:firstLineChars="200" w:firstLine="640"/>
        <w:rPr>
          <w:rFonts w:eastAsia="仿宋_GB2312"/>
          <w:sz w:val="32"/>
          <w:szCs w:val="32"/>
        </w:rPr>
      </w:pPr>
      <w:r>
        <w:rPr>
          <w:rFonts w:eastAsia="仿宋_GB2312"/>
          <w:sz w:val="32"/>
          <w:szCs w:val="32"/>
        </w:rPr>
        <w:t>（图5：一般公共预算财政拨款支出决算变动情况）（柱状图）</w:t>
      </w:r>
    </w:p>
    <w:p>
      <w:pPr>
        <w:spacing w:line="600" w:lineRule="exact"/>
        <w:ind w:firstLineChars="200" w:firstLine="640"/>
        <w:outlineLvl w:val="2"/>
        <w:rPr>
          <w:rFonts w:eastAsia="楷体_GB2312"/>
          <w:b/>
          <w:sz w:val="32"/>
          <w:szCs w:val="32"/>
        </w:rPr>
      </w:pPr>
      <w:bookmarkStart w:id="28" w:name="_Toc15377211"/>
      <w:r>
        <w:rPr>
          <w:rFonts w:eastAsia="楷体_GB2312"/>
          <w:b/>
          <w:sz w:val="32"/>
          <w:szCs w:val="32"/>
        </w:rPr>
        <w:t>（二）一般公共预算财政拨款支出决算结构情况</w:t>
      </w:r>
      <w:bookmarkEnd w:id="28"/>
    </w:p>
    <w:p>
      <w:pPr>
        <w:spacing w:line="600" w:lineRule="exact"/>
        <w:ind w:firstLine="640"/>
        <w:rPr>
          <w:rFonts w:eastAsia="仿宋_GB2312"/>
          <w:b/>
          <w:bCs/>
          <w:sz w:val="32"/>
          <w:szCs w:val="32"/>
        </w:rPr>
      </w:pPr>
      <w:r>
        <w:rPr>
          <w:rFonts w:eastAsia="仿宋_GB2312"/>
          <w:sz w:val="32"/>
          <w:szCs w:val="32"/>
        </w:rPr>
        <w:t>2025年度一般公共预算财政拨款支出719.61万元，主要用于以下方面：一般公共服务支出457.63万元，占63.6%；社会保障和就业支出185.66万元，占25.8%；卫生健康支出34.04万元，占4.7%；住房保障支出42.27万元，占5.9%。</w:t>
      </w:r>
    </w:p>
    <w:p>
      <w:pPr>
        <w:pStyle w:val="15"/>
        <w:spacing w:beforeLines="0" w:before="93"/>
        <w:jc w:val="center"/>
        <w:rPr>
          <w:rFonts w:ascii="Times New Roman" w:hAnsi="Times New Roman"/>
          <w:b/>
          <w:bCs/>
          <w:kern w:val="2"/>
          <w:sz w:val="32"/>
          <w:szCs w:val="32"/>
        </w:rPr>
      </w:pPr>
      <w:r>
        <w:rPr>
          <w:rFonts w:ascii="Times New Roman" w:hAnsi="Times New Roman"/>
          <w:b/>
          <w:bCs/>
          <w:kern w:val="2"/>
          <w:sz w:val="32"/>
          <w:szCs w:val="32"/>
        </w:rPr>
        <w:drawing>
          <wp:inline distT="0" distB="0" distL="85723" distR="85723">
            <wp:extent cx="4521969" cy="2716941"/>
            <wp:effectExtent l="0" t="0" r="45" b="23"/>
            <wp:docPr id="21" name="图片"/>
            <wp:cNvGraphicFramePr>
              <a:graphicFrameLocks noChangeAspect="1"/>
            </wp:cNvGraphicFramePr>
            <a:graphic>
              <a:graphicData uri="http://schemas.openxmlformats.org/drawingml/2006/picture">
                <pic:pic>
                  <pic:nvPicPr>
                    <pic:cNvPr id="23" name="图片 23"/>
                    <pic:cNvPicPr/>
                  </pic:nvPicPr>
                  <pic:blipFill>
                    <a:blip r:embed="rId11"/>
                    <a:stretch>
                      <a:fillRect/>
                    </a:stretch>
                  </pic:blipFill>
                  <pic:spPr>
                    <a:xfrm rot="0">
                      <a:off x="0" y="0"/>
                      <a:ext cx="4521969" cy="2716941"/>
                    </a:xfrm>
                    <a:prstGeom prst="rect"/>
                    <a:noFill/>
                    <a:ln w="9525" cmpd="sng" cap="flat">
                      <a:noFill/>
                      <a:prstDash val="solid"/>
                      <a:miter/>
                    </a:ln>
                  </pic:spPr>
                </pic:pic>
              </a:graphicData>
            </a:graphic>
          </wp:inline>
        </w:drawing>
      </w:r>
    </w:p>
    <w:p>
      <w:pPr>
        <w:spacing w:line="600" w:lineRule="exact"/>
        <w:ind w:firstLineChars="200" w:firstLine="640"/>
        <w:rPr>
          <w:rFonts w:eastAsia="仿宋_GB2312"/>
          <w:sz w:val="32"/>
          <w:szCs w:val="32"/>
        </w:rPr>
      </w:pPr>
      <w:r>
        <w:rPr>
          <w:rFonts w:eastAsia="仿宋_GB2312"/>
          <w:sz w:val="32"/>
          <w:szCs w:val="32"/>
        </w:rPr>
        <w:t>（图6：一般公共预算财政拨款支出决算结构）（饼状图）</w:t>
      </w:r>
    </w:p>
    <w:p>
      <w:pPr>
        <w:spacing w:line="600" w:lineRule="exact"/>
        <w:ind w:firstLineChars="200" w:firstLine="640"/>
        <w:outlineLvl w:val="2"/>
        <w:rPr>
          <w:rFonts w:eastAsia="楷体_GB2312"/>
          <w:b/>
          <w:sz w:val="32"/>
          <w:szCs w:val="32"/>
        </w:rPr>
      </w:pPr>
      <w:bookmarkStart w:id="29" w:name="_Toc15377212"/>
      <w:r>
        <w:rPr>
          <w:rFonts w:eastAsia="楷体_GB2312"/>
          <w:b/>
          <w:sz w:val="32"/>
          <w:szCs w:val="32"/>
        </w:rPr>
        <w:t>（三）一般公共预算财政拨款支出决算具体情况</w:t>
      </w:r>
      <w:bookmarkEnd w:id="29"/>
    </w:p>
    <w:p>
      <w:pPr>
        <w:spacing w:line="600" w:lineRule="exact"/>
        <w:ind w:firstLine="640"/>
        <w:rPr>
          <w:rFonts w:eastAsia="仿宋_GB2312"/>
          <w:sz w:val="32"/>
          <w:szCs w:val="32"/>
        </w:rPr>
      </w:pPr>
      <w:bookmarkStart w:id="30" w:name="_Toc15378460"/>
      <w:bookmarkStart w:id="31" w:name="_Toc15377444"/>
      <w:bookmarkStart w:id="32" w:name="_Toc15377213"/>
      <w:r>
        <w:rPr>
          <w:rFonts w:eastAsia="仿宋_GB2312"/>
          <w:sz w:val="32"/>
          <w:szCs w:val="32"/>
        </w:rPr>
        <w:t>2025年度一般公共预算财政拨款支出决算数为719.61万元，完成预算100%。其中：</w:t>
      </w:r>
      <w:bookmarkEnd w:id="30"/>
      <w:bookmarkEnd w:id="31"/>
      <w:bookmarkEnd w:id="32"/>
    </w:p>
    <w:p>
      <w:pPr>
        <w:spacing w:line="600" w:lineRule="exact"/>
        <w:rPr>
          <w:rFonts w:eastAsia="仿宋_GB2312"/>
          <w:sz w:val="32"/>
          <w:szCs w:val="32"/>
        </w:rPr>
      </w:pPr>
      <w:r>
        <w:rPr>
          <w:rFonts w:eastAsia="仿宋_GB2312"/>
          <w:sz w:val="32"/>
          <w:szCs w:val="32"/>
        </w:rPr>
        <w:t xml:space="preserve">    1.一般公共服务支出（类）人大事务（款）行政运行（项）：支出决算为25.84万元，完成预算100%，决算数等于预算数。</w:t>
      </w:r>
    </w:p>
    <w:p>
      <w:pPr>
        <w:spacing w:line="600" w:lineRule="exact"/>
        <w:ind w:firstLine="652"/>
        <w:rPr>
          <w:rFonts w:eastAsia="仿宋_GB2312"/>
          <w:sz w:val="32"/>
          <w:szCs w:val="32"/>
        </w:rPr>
      </w:pPr>
      <w:r>
        <w:rPr>
          <w:rFonts w:eastAsia="仿宋_GB2312"/>
          <w:sz w:val="32"/>
          <w:szCs w:val="32"/>
        </w:rPr>
        <w:t>2.一般公共服务支出（类）档案事务（款）行政运行（项）：</w:t>
      </w:r>
      <w:r>
        <w:rPr>
          <w:rFonts w:eastAsia="仿宋_GB2312"/>
          <w:spacing w:val="-4"/>
          <w:sz w:val="32"/>
          <w:szCs w:val="32"/>
        </w:rPr>
        <w:t>支出决算为403.79万元，完成预算100%，决算数等于预算数。</w:t>
      </w:r>
    </w:p>
    <w:p>
      <w:pPr>
        <w:spacing w:line="600" w:lineRule="exact"/>
        <w:ind w:firstLine="652"/>
        <w:rPr>
          <w:rFonts w:eastAsia="仿宋_GB2312"/>
          <w:sz w:val="32"/>
          <w:szCs w:val="32"/>
        </w:rPr>
      </w:pPr>
      <w:r>
        <w:rPr>
          <w:rFonts w:eastAsia="仿宋_GB2312"/>
          <w:sz w:val="32"/>
          <w:szCs w:val="32"/>
        </w:rPr>
        <w:t>3.一般公共服务支出（类）档案事务（款）档案馆（项）：支出决算为28万元，完成预算100%，决算数等于预算数。</w:t>
      </w:r>
    </w:p>
    <w:p>
      <w:pPr>
        <w:spacing w:line="600" w:lineRule="exact"/>
        <w:ind w:firstLineChars="200" w:firstLine="640"/>
        <w:rPr>
          <w:rFonts w:eastAsia="仿宋_GB2312"/>
          <w:sz w:val="32"/>
          <w:szCs w:val="32"/>
        </w:rPr>
      </w:pPr>
      <w:r>
        <w:rPr>
          <w:rFonts w:eastAsia="仿宋_GB2312"/>
          <w:sz w:val="32"/>
          <w:szCs w:val="32"/>
        </w:rPr>
        <w:t>4.社会保障和就业支出（类）行政事业单位养老支出（款）行政单位离退休（项）：支出决算为105.65万元，完成预算100%，决算数等于预算数。</w:t>
      </w:r>
    </w:p>
    <w:p>
      <w:pPr>
        <w:spacing w:line="600" w:lineRule="exact"/>
        <w:ind w:firstLineChars="200" w:firstLine="640"/>
        <w:rPr>
          <w:rFonts w:eastAsia="仿宋_GB2312"/>
          <w:sz w:val="32"/>
          <w:szCs w:val="32"/>
        </w:rPr>
      </w:pPr>
      <w:r>
        <w:rPr>
          <w:rFonts w:eastAsia="仿宋_GB2312"/>
          <w:sz w:val="32"/>
          <w:szCs w:val="32"/>
        </w:rPr>
        <w:t>5.社会保障和就业支出（类）行政事业单位养老支出（款）机关事业单位基本养老保险缴费支出（项）：支出决算为52.37万元，完成预算100%，决算数等于预算数。</w:t>
      </w:r>
    </w:p>
    <w:p>
      <w:pPr>
        <w:spacing w:line="600" w:lineRule="exact"/>
        <w:ind w:firstLineChars="200" w:firstLine="640"/>
      </w:pPr>
      <w:r>
        <w:rPr>
          <w:rFonts w:eastAsia="仿宋_GB2312"/>
          <w:sz w:val="32"/>
          <w:szCs w:val="32"/>
        </w:rPr>
        <w:t>6.社会保障和就业支出（类）行政事业单位养老支出（款）机关事业单位职业年金缴费支出（项）：支出决算为27.65万元，完成预算100%，决算数等于预算数。</w:t>
      </w:r>
    </w:p>
    <w:p>
      <w:pPr>
        <w:spacing w:line="600" w:lineRule="exact"/>
        <w:ind w:firstLineChars="200" w:firstLine="640"/>
        <w:rPr>
          <w:rFonts w:eastAsia="仿宋_GB2312"/>
          <w:sz w:val="32"/>
          <w:szCs w:val="32"/>
        </w:rPr>
      </w:pPr>
      <w:r>
        <w:rPr>
          <w:rFonts w:eastAsia="仿宋_GB2312"/>
          <w:sz w:val="32"/>
          <w:szCs w:val="32"/>
        </w:rPr>
        <w:t>7.卫生健康（类）行政事业单位医疗（款）行政单位医疗（项）：支出决算为27.13万元，完成预算100%，决算数等于预算数。</w:t>
      </w:r>
    </w:p>
    <w:p>
      <w:pPr>
        <w:spacing w:line="600" w:lineRule="exact"/>
        <w:ind w:firstLineChars="200" w:firstLine="640"/>
        <w:rPr>
          <w:rFonts w:eastAsia="仿宋_GB2312"/>
          <w:sz w:val="32"/>
          <w:szCs w:val="32"/>
        </w:rPr>
      </w:pPr>
      <w:r>
        <w:rPr>
          <w:rFonts w:eastAsia="仿宋_GB2312"/>
          <w:sz w:val="32"/>
          <w:szCs w:val="32"/>
        </w:rPr>
        <w:t>8.卫生健康（类）行政事业单位医疗（款）公务员医疗补助（项）：支出决算为3.02万元，完成预算100%，决算数等于预算数。</w:t>
      </w:r>
    </w:p>
    <w:p>
      <w:pPr>
        <w:spacing w:line="600" w:lineRule="exact"/>
        <w:ind w:firstLineChars="200" w:firstLine="640"/>
        <w:rPr>
          <w:rFonts w:eastAsia="仿宋_GB2312"/>
          <w:sz w:val="32"/>
          <w:szCs w:val="32"/>
        </w:rPr>
      </w:pPr>
      <w:r>
        <w:rPr>
          <w:rFonts w:eastAsia="仿宋_GB2312"/>
          <w:sz w:val="32"/>
          <w:szCs w:val="32"/>
        </w:rPr>
        <w:t>9.卫生健康（类）行政事业单位医疗（款）其他行政事业单位医疗支出（项）：支出决算为3.54万元，完成预算100%，决算数等于预算数。</w:t>
      </w:r>
    </w:p>
    <w:p>
      <w:pPr>
        <w:spacing w:line="600" w:lineRule="exact"/>
        <w:ind w:firstLineChars="200" w:firstLine="640"/>
        <w:rPr>
          <w:rFonts w:eastAsia="仿宋_GB2312"/>
          <w:sz w:val="32"/>
          <w:szCs w:val="32"/>
        </w:rPr>
      </w:pPr>
      <w:r>
        <w:rPr>
          <w:rFonts w:eastAsia="仿宋_GB2312"/>
          <w:sz w:val="32"/>
          <w:szCs w:val="32"/>
        </w:rPr>
        <w:t>10.卫生健康支出（类）其他卫生健康支出（款）其他卫生健康支出（项）：支出决算为0.36万元，完成预算100%，决算数等于预算数。</w:t>
      </w:r>
    </w:p>
    <w:p>
      <w:pPr>
        <w:spacing w:line="600" w:lineRule="exact"/>
        <w:ind w:firstLineChars="200" w:firstLine="640"/>
        <w:rPr>
          <w:rFonts w:eastAsia="仿宋_GB2312"/>
          <w:sz w:val="32"/>
          <w:szCs w:val="32"/>
        </w:rPr>
      </w:pPr>
      <w:r>
        <w:rPr>
          <w:rFonts w:eastAsia="仿宋_GB2312"/>
          <w:sz w:val="32"/>
          <w:szCs w:val="32"/>
        </w:rPr>
        <w:t>11.住房保障支出（类）住房改革支出（款）住房公积金（项）：支出决算为42.27万元，完成预算100%，决算数等于预算数。</w:t>
      </w:r>
    </w:p>
    <w:p>
      <w:pPr>
        <w:tabs>
          <w:tab w:val="right" w:pos="8306"/>
        </w:tabs>
        <w:spacing w:line="600" w:lineRule="exact"/>
        <w:ind w:firstLine="640"/>
        <w:outlineLvl w:val="1"/>
        <w:rPr>
          <w:rStyle w:val="2Char"/>
          <w:rFonts w:ascii="Times New Roman" w:hAnsi="Times New Roman"/>
        </w:rPr>
      </w:pPr>
      <w:bookmarkStart w:id="33" w:name="_Toc15377214"/>
      <w:bookmarkStart w:id="34" w:name="_Toc15396608"/>
      <w:r>
        <w:rPr>
          <w:rFonts w:eastAsia="黑体"/>
          <w:sz w:val="32"/>
          <w:szCs w:val="32"/>
        </w:rPr>
        <w:t>六、一</w:t>
      </w:r>
      <w:r>
        <w:rPr>
          <w:rStyle w:val="2Char"/>
          <w:rFonts w:ascii="Times New Roman" w:eastAsia="黑体" w:hAnsi="Times New Roman"/>
          <w:b w:val="0"/>
        </w:rPr>
        <w:t>般公共预算财政拨款基本支出决算情况说明</w:t>
      </w:r>
      <w:bookmarkEnd w:id="33"/>
      <w:bookmarkEnd w:id="34"/>
      <w:r>
        <w:rPr>
          <w:rStyle w:val="2Char"/>
          <w:rFonts w:ascii="Times New Roman" w:eastAsia="黑体" w:hAnsi="Times New Roman"/>
          <w:b w:val="0"/>
        </w:rPr>
        <w:tab/>
      </w:r>
    </w:p>
    <w:p>
      <w:pPr>
        <w:spacing w:line="600" w:lineRule="exact"/>
        <w:ind w:firstLine="640"/>
        <w:rPr>
          <w:rFonts w:eastAsia="仿宋_GB2312"/>
          <w:sz w:val="32"/>
          <w:szCs w:val="32"/>
        </w:rPr>
      </w:pPr>
      <w:r>
        <w:rPr>
          <w:rFonts w:eastAsia="仿宋_GB2312"/>
          <w:sz w:val="32"/>
          <w:szCs w:val="32"/>
        </w:rPr>
        <w:t>2025年度一般公共预算财政拨款基本支出685.31万元，其中：</w:t>
      </w:r>
    </w:p>
    <w:p>
      <w:pPr>
        <w:spacing w:line="600" w:lineRule="exact"/>
        <w:ind w:firstLine="640"/>
        <w:rPr>
          <w:rFonts w:eastAsia="仿宋_GB2312"/>
          <w:sz w:val="32"/>
          <w:szCs w:val="32"/>
        </w:rPr>
      </w:pPr>
      <w:r>
        <w:rPr>
          <w:rFonts w:eastAsia="仿宋_GB2312"/>
          <w:sz w:val="32"/>
          <w:szCs w:val="32"/>
        </w:rPr>
        <w:t>人员经费640.44万元，主要包括：基本工资、津贴补贴、奖金、机关事业单位基本养老保险缴费、职业年金缴费、职工基本医疗保险缴费、公务员医疗补助缴费、其他社会保障缴费、住房公积金、其他工资福利支出、对个人和家庭的补助、生活补助、医疗费补助、奖励金等。</w:t>
      </w:r>
    </w:p>
    <w:p>
      <w:pPr>
        <w:spacing w:line="600" w:lineRule="exact"/>
        <w:ind w:firstLine="640"/>
        <w:rPr>
          <w:rFonts w:eastAsia="仿宋_GB2312"/>
          <w:sz w:val="32"/>
          <w:szCs w:val="32"/>
        </w:rPr>
      </w:pPr>
      <w:r>
        <w:rPr>
          <w:rFonts w:eastAsia="仿宋_GB2312"/>
          <w:sz w:val="32"/>
          <w:szCs w:val="32"/>
        </w:rPr>
        <w:t>公用经费44.87万元，主要包括：办公费、邮电费、差旅费、会议费、培训费、公务接待费、委托业务费、工会经费、福利费、公务用车运行维护费、其他交通费用、其他商品和服务支出等。</w:t>
      </w:r>
    </w:p>
    <w:p>
      <w:pPr>
        <w:spacing w:line="600" w:lineRule="exact"/>
        <w:ind w:firstLine="640"/>
        <w:outlineLvl w:val="1"/>
        <w:rPr>
          <w:rFonts w:eastAsia="黑体"/>
          <w:sz w:val="32"/>
          <w:szCs w:val="32"/>
        </w:rPr>
      </w:pPr>
      <w:bookmarkStart w:id="35" w:name="_Toc15377215"/>
      <w:bookmarkStart w:id="36" w:name="_Toc15396609"/>
    </w:p>
    <w:p>
      <w:pPr>
        <w:spacing w:line="600" w:lineRule="exact"/>
        <w:ind w:firstLine="640"/>
        <w:outlineLvl w:val="1"/>
        <w:rPr>
          <w:rStyle w:val="2Char"/>
          <w:rFonts w:ascii="Times New Roman" w:eastAsia="黑体" w:hAnsi="Times New Roman"/>
          <w:b w:val="0"/>
        </w:rPr>
      </w:pPr>
      <w:r>
        <w:rPr>
          <w:rFonts w:eastAsia="黑体"/>
          <w:sz w:val="32"/>
          <w:szCs w:val="32"/>
        </w:rPr>
        <w:t>七、</w:t>
      </w:r>
      <w:r>
        <w:rPr>
          <w:rStyle w:val="2Char"/>
          <w:rFonts w:ascii="Times New Roman" w:eastAsia="黑体" w:hAnsi="Times New Roman"/>
          <w:b w:val="0"/>
        </w:rPr>
        <w:t>财政拨款</w:t>
      </w:r>
      <w:r>
        <w:rPr>
          <w:rStyle w:val="2Char"/>
          <w:rFonts w:ascii="Times New Roman" w:eastAsia="黑体" w:hAnsi="Times New Roman"/>
        </w:rPr>
        <w:t>“</w:t>
      </w:r>
      <w:r>
        <w:rPr>
          <w:rStyle w:val="2Char"/>
          <w:rFonts w:ascii="Times New Roman" w:eastAsia="黑体" w:hAnsi="Times New Roman"/>
          <w:b w:val="0"/>
        </w:rPr>
        <w:t>三公”经费支出决算情况说明</w:t>
      </w:r>
      <w:bookmarkEnd w:id="35"/>
      <w:bookmarkEnd w:id="36"/>
    </w:p>
    <w:p>
      <w:pPr>
        <w:spacing w:line="600" w:lineRule="exact"/>
        <w:ind w:firstLineChars="200" w:firstLine="640"/>
        <w:outlineLvl w:val="2"/>
        <w:rPr>
          <w:rFonts w:eastAsia="楷体_GB2312"/>
          <w:b/>
          <w:sz w:val="32"/>
          <w:szCs w:val="32"/>
        </w:rPr>
      </w:pPr>
      <w:bookmarkStart w:id="37" w:name="_Toc15377216"/>
      <w:r>
        <w:rPr>
          <w:rFonts w:eastAsia="楷体_GB2312"/>
          <w:b/>
          <w:sz w:val="32"/>
          <w:szCs w:val="32"/>
        </w:rPr>
        <w:t>（一）</w:t>
      </w:r>
      <w:bookmarkEnd w:id="37"/>
      <w:r>
        <w:rPr>
          <w:rFonts w:eastAsia="楷体_GB2312"/>
          <w:b/>
          <w:sz w:val="32"/>
          <w:szCs w:val="32"/>
        </w:rPr>
        <w:t>财政拨款“三公”经费支出决算总体情况说明</w:t>
      </w:r>
    </w:p>
    <w:p>
      <w:pPr>
        <w:spacing w:line="600" w:lineRule="exact"/>
        <w:ind w:firstLine="640"/>
        <w:rPr>
          <w:rFonts w:eastAsia="仿宋_GB2312"/>
          <w:sz w:val="32"/>
          <w:szCs w:val="32"/>
        </w:rPr>
      </w:pPr>
      <w:r>
        <w:rPr>
          <w:rFonts w:eastAsia="仿宋_GB2312"/>
          <w:sz w:val="32"/>
          <w:szCs w:val="32"/>
        </w:rPr>
        <w:t>2025年度财政拨款“三公”经费支出决算为1.19万元，完成预算100%，较上年度减少0.07万元，下降5.6%。决算数与预算数持平。</w:t>
      </w:r>
    </w:p>
    <w:p>
      <w:pPr>
        <w:spacing w:line="600" w:lineRule="exact"/>
        <w:ind w:firstLineChars="200" w:firstLine="640"/>
        <w:outlineLvl w:val="2"/>
        <w:rPr>
          <w:rFonts w:eastAsia="楷体_GB2312"/>
          <w:b/>
          <w:sz w:val="32"/>
          <w:szCs w:val="32"/>
        </w:rPr>
      </w:pPr>
      <w:bookmarkStart w:id="38" w:name="_Toc15377217"/>
      <w:r>
        <w:rPr>
          <w:rFonts w:eastAsia="楷体_GB2312"/>
          <w:b/>
          <w:sz w:val="32"/>
          <w:szCs w:val="32"/>
        </w:rPr>
        <w:t>（二）财政拨款“三公”经费支出决算具体情况说明</w:t>
      </w:r>
      <w:bookmarkEnd w:id="38"/>
    </w:p>
    <w:p>
      <w:pPr>
        <w:spacing w:line="600" w:lineRule="exact"/>
        <w:ind w:firstLine="640"/>
        <w:rPr>
          <w:rFonts w:eastAsia="仿宋_GB2312"/>
          <w:sz w:val="32"/>
          <w:szCs w:val="32"/>
        </w:rPr>
      </w:pPr>
      <w:r>
        <w:rPr>
          <w:rFonts w:eastAsia="仿宋_GB2312"/>
          <w:sz w:val="32"/>
          <w:szCs w:val="32"/>
        </w:rPr>
        <w:t>2025年度财政拨款“三公”经费支出决算中，因公出国（境）费支出决算0万元，占0%；公务用车购置及运行维护费支出决算0.84万元，占70.6%；公务接待费支出决算0.35万元，占29.4%。具体情况如下：</w:t>
      </w:r>
    </w:p>
    <w:p>
      <w:pPr>
        <w:pStyle w:val="15"/>
        <w:spacing w:beforeLines="0" w:before="93"/>
        <w:jc w:val="center"/>
        <w:rPr>
          <w:rFonts w:ascii="Times New Roman" w:hAnsi="Times New Roman"/>
          <w:kern w:val="2"/>
          <w:sz w:val="32"/>
          <w:szCs w:val="32"/>
        </w:rPr>
      </w:pPr>
      <w:r>
        <w:rPr>
          <w:rFonts w:ascii="Times New Roman" w:hAnsi="Times New Roman"/>
          <w:kern w:val="2"/>
          <w:sz w:val="32"/>
          <w:szCs w:val="32"/>
        </w:rPr>
        <w:drawing>
          <wp:inline distT="0" distB="0" distL="85723" distR="85723">
            <wp:extent cx="4581455" cy="2752683"/>
            <wp:effectExtent l="0" t="0" r="0" b="0"/>
            <wp:docPr id="24" name="图片"/>
            <wp:cNvGraphicFramePr>
              <a:graphicFrameLocks noChangeAspect="1"/>
            </wp:cNvGraphicFramePr>
            <a:graphic>
              <a:graphicData uri="http://schemas.openxmlformats.org/drawingml/2006/picture">
                <pic:pic>
                  <pic:nvPicPr>
                    <pic:cNvPr id="26" name="图片 26"/>
                    <pic:cNvPicPr/>
                  </pic:nvPicPr>
                  <pic:blipFill>
                    <a:blip r:embed="rId12"/>
                    <a:stretch>
                      <a:fillRect/>
                    </a:stretch>
                  </pic:blipFill>
                  <pic:spPr>
                    <a:xfrm rot="0">
                      <a:off x="0" y="0"/>
                      <a:ext cx="4581455" cy="2752683"/>
                    </a:xfrm>
                    <a:prstGeom prst="rect"/>
                    <a:noFill/>
                    <a:ln w="9525" cmpd="sng" cap="flat">
                      <a:noFill/>
                      <a:prstDash val="solid"/>
                      <a:miter/>
                    </a:ln>
                  </pic:spPr>
                </pic:pic>
              </a:graphicData>
            </a:graphic>
          </wp:inline>
        </w:drawing>
      </w:r>
    </w:p>
    <w:p>
      <w:pPr>
        <w:spacing w:line="600" w:lineRule="exact"/>
        <w:ind w:firstLine="640"/>
        <w:rPr>
          <w:rFonts w:eastAsia="仿宋_GB2312"/>
          <w:sz w:val="32"/>
          <w:szCs w:val="32"/>
        </w:rPr>
      </w:pPr>
      <w:r>
        <w:rPr>
          <w:rFonts w:eastAsia="仿宋_GB2312"/>
          <w:sz w:val="32"/>
          <w:szCs w:val="32"/>
        </w:rPr>
        <w:t>（图7：“三公”经费财政拨款支出结构）（饼状图）</w:t>
      </w:r>
    </w:p>
    <w:p>
      <w:pPr>
        <w:spacing w:line="600" w:lineRule="exact"/>
        <w:ind w:firstLine="640"/>
        <w:rPr>
          <w:rFonts w:eastAsia="仿宋_GB2312"/>
          <w:sz w:val="32"/>
          <w:szCs w:val="32"/>
        </w:rPr>
      </w:pPr>
      <w:r>
        <w:rPr>
          <w:rFonts w:eastAsia="仿宋_GB2312"/>
          <w:b/>
          <w:bCs/>
          <w:sz w:val="32"/>
          <w:szCs w:val="32"/>
        </w:rPr>
        <w:t>1.因公出国（境）经费2025年度支出0万元。</w:t>
      </w:r>
    </w:p>
    <w:p>
      <w:pPr>
        <w:spacing w:line="600" w:lineRule="exact"/>
        <w:ind w:firstLine="640"/>
        <w:rPr>
          <w:rFonts w:eastAsia="仿宋_GB2312"/>
          <w:sz w:val="32"/>
          <w:szCs w:val="32"/>
        </w:rPr>
      </w:pPr>
      <w:r>
        <w:rPr>
          <w:rFonts w:eastAsia="仿宋_GB2312"/>
          <w:b/>
          <w:bCs/>
          <w:sz w:val="32"/>
          <w:szCs w:val="32"/>
        </w:rPr>
        <w:t>2.公务用车购置及运行维护费支出0.84万元，完成预算100%。</w:t>
      </w:r>
      <w:r>
        <w:rPr>
          <w:rFonts w:eastAsia="仿宋_GB2312"/>
          <w:sz w:val="32"/>
          <w:szCs w:val="32"/>
        </w:rPr>
        <w:t>公务用车购置及运行维护费支出决算比2024年度增加0.13万元，增长18.3%。主要原因是维修</w:t>
      </w:r>
      <w:r>
        <w:rPr>
          <w:rFonts w:eastAsia="仿宋_GB2312" w:hint="eastAsia"/>
          <w:sz w:val="32"/>
          <w:szCs w:val="32"/>
        </w:rPr>
        <w:t>车内脱落顶棚以及赴外省开展人事考察</w:t>
      </w:r>
      <w:r>
        <w:rPr>
          <w:rFonts w:eastAsia="仿宋_GB2312"/>
          <w:sz w:val="32"/>
          <w:szCs w:val="32"/>
        </w:rPr>
        <w:t>公务用车</w:t>
      </w:r>
      <w:r>
        <w:rPr>
          <w:rFonts w:eastAsia="仿宋_GB2312" w:hint="eastAsia"/>
          <w:sz w:val="32"/>
          <w:szCs w:val="32"/>
        </w:rPr>
        <w:t>高速</w:t>
      </w:r>
      <w:r>
        <w:rPr>
          <w:rFonts w:eastAsia="仿宋_GB2312"/>
          <w:sz w:val="32"/>
          <w:szCs w:val="32"/>
        </w:rPr>
        <w:t>过路费增加</w:t>
      </w:r>
      <w:r>
        <w:rPr>
          <w:rFonts w:eastAsia="仿宋_GB2312" w:hint="eastAsia"/>
          <w:sz w:val="32"/>
          <w:szCs w:val="32"/>
        </w:rPr>
        <w:t>等</w:t>
      </w:r>
      <w:r>
        <w:rPr>
          <w:rFonts w:eastAsia="仿宋_GB2312"/>
          <w:sz w:val="32"/>
          <w:szCs w:val="32"/>
        </w:rPr>
        <w:t>。</w:t>
      </w:r>
    </w:p>
    <w:p>
      <w:pPr>
        <w:spacing w:line="600" w:lineRule="exact"/>
        <w:ind w:firstLine="640"/>
        <w:rPr>
          <w:rFonts w:eastAsia="仿宋_GB2312"/>
          <w:sz w:val="32"/>
          <w:szCs w:val="32"/>
        </w:rPr>
      </w:pPr>
      <w:r>
        <w:rPr>
          <w:rFonts w:eastAsia="仿宋_GB2312"/>
          <w:sz w:val="32"/>
          <w:szCs w:val="32"/>
        </w:rPr>
        <w:t>其中：公务用车购置支出0万元。</w:t>
      </w:r>
    </w:p>
    <w:p>
      <w:pPr>
        <w:spacing w:line="600" w:lineRule="exact"/>
        <w:ind w:firstLine="640"/>
        <w:rPr>
          <w:rFonts w:eastAsia="仿宋_GB2312"/>
          <w:sz w:val="32"/>
          <w:szCs w:val="32"/>
        </w:rPr>
      </w:pPr>
      <w:r>
        <w:rPr>
          <w:rFonts w:eastAsia="仿宋_GB2312"/>
          <w:sz w:val="32"/>
          <w:szCs w:val="32"/>
        </w:rPr>
        <w:t>公务用车运行维护费支出0.84万元。主要用于外出调研、参加四大班子重要会议、办理涉密事项、征集档案、业务指导等所需的公务用车燃料费、维修费、过路过桥费、保险费等支出。</w:t>
      </w:r>
    </w:p>
    <w:p>
      <w:pPr>
        <w:spacing w:line="600" w:lineRule="exact"/>
        <w:ind w:firstLine="640"/>
        <w:rPr>
          <w:rFonts w:eastAsia="仿宋_GB2312"/>
          <w:sz w:val="32"/>
          <w:szCs w:val="32"/>
        </w:rPr>
      </w:pPr>
      <w:r>
        <w:rPr>
          <w:rFonts w:eastAsia="仿宋_GB2312"/>
          <w:b/>
          <w:bCs/>
          <w:sz w:val="32"/>
          <w:szCs w:val="32"/>
        </w:rPr>
        <w:t>3.公务接待费支出0.35万元，完成预算100%。</w:t>
      </w:r>
      <w:r>
        <w:rPr>
          <w:rFonts w:eastAsia="仿宋_GB2312"/>
          <w:sz w:val="32"/>
          <w:szCs w:val="32"/>
        </w:rPr>
        <w:t>公务接待费支出决算比2024年度减少0.2万元，下降36.4%。主要原因是按照厉行节约要求，减少“三公经费”开支。其中：</w:t>
      </w:r>
    </w:p>
    <w:p>
      <w:pPr>
        <w:spacing w:line="600" w:lineRule="exact"/>
        <w:ind w:firstLine="640"/>
        <w:rPr>
          <w:rFonts w:eastAsia="仿宋_GB2312"/>
          <w:sz w:val="32"/>
          <w:szCs w:val="32"/>
        </w:rPr>
      </w:pPr>
      <w:r>
        <w:rPr>
          <w:rFonts w:eastAsia="仿宋_GB2312"/>
          <w:sz w:val="32"/>
          <w:szCs w:val="32"/>
        </w:rPr>
        <w:t>国内公务接待支出0.35万元，主要用于执行公务、开展业务活动开支的用餐费。国内公务接待4批次，14人次（不包括陪同人员），共计支出0.</w:t>
      </w:r>
      <w:r>
        <w:rPr>
          <w:rFonts w:eastAsia="仿宋_GB2312" w:hint="eastAsia"/>
          <w:sz w:val="32"/>
          <w:szCs w:val="32"/>
        </w:rPr>
        <w:t>35</w:t>
      </w:r>
      <w:r>
        <w:rPr>
          <w:rFonts w:eastAsia="仿宋_GB2312"/>
          <w:sz w:val="32"/>
          <w:szCs w:val="32"/>
        </w:rPr>
        <w:t>万元，具体内容包括：</w:t>
      </w:r>
      <w:r>
        <w:rPr>
          <w:rFonts w:eastAsia="仿宋_GB2312" w:hint="eastAsia"/>
          <w:sz w:val="32"/>
          <w:szCs w:val="32"/>
        </w:rPr>
        <w:t>接待</w:t>
      </w:r>
      <w:r>
        <w:rPr>
          <w:rFonts w:eastAsia="仿宋_GB2312"/>
          <w:sz w:val="32"/>
          <w:szCs w:val="32"/>
        </w:rPr>
        <w:t>泸州市档案馆到市档案馆学习调研</w:t>
      </w:r>
      <w:r>
        <w:rPr>
          <w:rFonts w:eastAsia="仿宋_GB2312" w:hint="eastAsia"/>
          <w:sz w:val="32"/>
          <w:szCs w:val="32"/>
        </w:rPr>
        <w:t>0.12万元;</w:t>
      </w:r>
      <w:r>
        <w:rPr>
          <w:rFonts w:eastAsia="仿宋_GB2312"/>
          <w:sz w:val="32"/>
          <w:szCs w:val="32"/>
        </w:rPr>
        <w:t>接待省档案馆档案编研处一行到攀枝花开展专题调研</w:t>
      </w:r>
      <w:r>
        <w:rPr>
          <w:rFonts w:eastAsia="仿宋_GB2312" w:hint="eastAsia"/>
          <w:sz w:val="32"/>
          <w:szCs w:val="32"/>
        </w:rPr>
        <w:t>0.06万元;接待</w:t>
      </w:r>
      <w:r>
        <w:rPr>
          <w:rFonts w:eastAsia="仿宋_GB2312"/>
          <w:sz w:val="32"/>
          <w:szCs w:val="32"/>
        </w:rPr>
        <w:t>辽宁省朝阳市档案馆到市档案馆对接档案工作</w:t>
      </w:r>
      <w:r>
        <w:rPr>
          <w:rFonts w:eastAsia="仿宋_GB2312" w:hint="eastAsia"/>
          <w:sz w:val="32"/>
          <w:szCs w:val="32"/>
        </w:rPr>
        <w:t>0.05万元;</w:t>
      </w:r>
      <w:r>
        <w:rPr>
          <w:rFonts w:eastAsia="仿宋_GB2312"/>
          <w:sz w:val="32"/>
          <w:szCs w:val="32"/>
        </w:rPr>
        <w:t>接待方小榕一行到攀参加市政协活动</w:t>
      </w:r>
      <w:r>
        <w:rPr>
          <w:rFonts w:eastAsia="仿宋_GB2312" w:hint="eastAsia"/>
          <w:sz w:val="32"/>
          <w:szCs w:val="32"/>
        </w:rPr>
        <w:t>0.12万元</w:t>
      </w:r>
      <w:r>
        <w:rPr>
          <w:rFonts w:eastAsia="仿宋_GB2312"/>
          <w:sz w:val="32"/>
          <w:szCs w:val="32"/>
        </w:rPr>
        <w:t>。</w:t>
      </w:r>
    </w:p>
    <w:p>
      <w:pPr>
        <w:spacing w:line="600" w:lineRule="exact"/>
        <w:ind w:firstLine="640"/>
        <w:rPr>
          <w:rFonts w:eastAsia="仿宋_GB2312"/>
          <w:sz w:val="32"/>
          <w:szCs w:val="32"/>
        </w:rPr>
      </w:pPr>
      <w:r>
        <w:rPr>
          <w:rFonts w:eastAsia="仿宋_GB2312"/>
          <w:sz w:val="32"/>
          <w:szCs w:val="32"/>
        </w:rPr>
        <w:t>外事接待支出0万元。</w:t>
      </w:r>
      <w:bookmarkStart w:id="39" w:name="_Toc15377218"/>
      <w:bookmarkStart w:id="40" w:name="_Toc15396610"/>
    </w:p>
    <w:p>
      <w:pPr>
        <w:spacing w:line="600" w:lineRule="exact"/>
        <w:ind w:firstLine="640"/>
        <w:outlineLvl w:val="1"/>
        <w:rPr>
          <w:rStyle w:val="2Char"/>
          <w:rFonts w:ascii="Times New Roman" w:eastAsia="黑体" w:hAnsi="Times New Roman"/>
        </w:rPr>
      </w:pPr>
      <w:r>
        <w:rPr>
          <w:rFonts w:eastAsia="黑体"/>
          <w:sz w:val="32"/>
          <w:szCs w:val="32"/>
        </w:rPr>
        <w:t>八、</w:t>
      </w:r>
      <w:r>
        <w:rPr>
          <w:rStyle w:val="2Char"/>
          <w:rFonts w:ascii="Times New Roman" w:eastAsia="黑体" w:hAnsi="Times New Roman"/>
          <w:b w:val="0"/>
        </w:rPr>
        <w:t>政府性基金预算支出决算情况说明</w:t>
      </w:r>
      <w:bookmarkEnd w:id="39"/>
      <w:bookmarkEnd w:id="40"/>
    </w:p>
    <w:p>
      <w:pPr>
        <w:spacing w:line="600" w:lineRule="exact"/>
        <w:ind w:firstLine="640"/>
        <w:rPr>
          <w:rFonts w:eastAsia="仿宋_GB2312"/>
          <w:sz w:val="32"/>
          <w:szCs w:val="32"/>
        </w:rPr>
      </w:pPr>
      <w:r>
        <w:rPr>
          <w:rFonts w:eastAsia="仿宋_GB2312"/>
          <w:sz w:val="32"/>
          <w:szCs w:val="32"/>
        </w:rPr>
        <w:t>2025年度政府性基金预算财政拨款支出0万元。与2024年度相比，政府性基金预算财政拨款支出减少10万元，减少100%。主要变动原因是</w:t>
      </w:r>
      <w:r>
        <w:rPr>
          <w:rFonts w:eastAsia="仿宋_GB2312" w:hint="eastAsia"/>
          <w:sz w:val="32"/>
          <w:szCs w:val="32"/>
        </w:rPr>
        <w:t>没有单独下拨用于</w:t>
      </w:r>
      <w:r>
        <w:rPr>
          <w:rFonts w:eastAsia="仿宋_GB2312"/>
          <w:sz w:val="32"/>
          <w:szCs w:val="32"/>
        </w:rPr>
        <w:t>支付往年度企业欠款</w:t>
      </w:r>
      <w:r>
        <w:rPr>
          <w:rFonts w:eastAsia="仿宋_GB2312" w:hint="eastAsia"/>
          <w:sz w:val="32"/>
          <w:szCs w:val="32"/>
        </w:rPr>
        <w:t>的</w:t>
      </w:r>
      <w:r>
        <w:rPr>
          <w:rFonts w:eastAsia="仿宋_GB2312"/>
          <w:sz w:val="32"/>
          <w:szCs w:val="32"/>
        </w:rPr>
        <w:t>经费。</w:t>
      </w:r>
    </w:p>
    <w:p>
      <w:pPr>
        <w:spacing w:line="600" w:lineRule="exact"/>
        <w:ind w:left="630"/>
        <w:outlineLvl w:val="1"/>
        <w:rPr>
          <w:rStyle w:val="2Char"/>
          <w:rFonts w:ascii="Times New Roman" w:eastAsia="黑体" w:hAnsi="Times New Roman"/>
          <w:b w:val="0"/>
        </w:rPr>
      </w:pPr>
      <w:bookmarkStart w:id="41" w:name="_Toc15396611"/>
      <w:bookmarkStart w:id="42" w:name="_Toc15377219"/>
    </w:p>
    <w:p>
      <w:pPr>
        <w:spacing w:line="600" w:lineRule="exact"/>
        <w:ind w:left="630"/>
        <w:outlineLvl w:val="1"/>
        <w:rPr>
          <w:rStyle w:val="2Char"/>
          <w:rFonts w:ascii="Times New Roman" w:eastAsia="黑体" w:hAnsi="Times New Roman"/>
          <w:b w:val="0"/>
        </w:rPr>
      </w:pPr>
      <w:r>
        <w:rPr>
          <w:rStyle w:val="2Char"/>
          <w:rFonts w:ascii="Times New Roman" w:eastAsia="黑体" w:hAnsi="Times New Roman"/>
          <w:b w:val="0"/>
        </w:rPr>
        <w:t>九、国有资本经营预算支出决算情况说明</w:t>
      </w:r>
      <w:bookmarkEnd w:id="41"/>
      <w:bookmarkEnd w:id="42"/>
    </w:p>
    <w:p>
      <w:pPr>
        <w:spacing w:line="600" w:lineRule="exact"/>
        <w:ind w:firstLine="640"/>
        <w:rPr>
          <w:rFonts w:eastAsia="仿宋_GB2312"/>
          <w:sz w:val="32"/>
          <w:szCs w:val="32"/>
        </w:rPr>
      </w:pPr>
      <w:r>
        <w:rPr>
          <w:rFonts w:eastAsia="仿宋_GB2312"/>
          <w:sz w:val="32"/>
          <w:szCs w:val="32"/>
        </w:rPr>
        <w:t>2025年度国有资本经营预算财政拨款支出0万元。</w:t>
      </w:r>
    </w:p>
    <w:p>
      <w:pPr>
        <w:spacing w:line="600" w:lineRule="exact"/>
        <w:ind w:left="630"/>
        <w:outlineLvl w:val="1"/>
        <w:rPr>
          <w:rStyle w:val="2Char"/>
          <w:rFonts w:ascii="Times New Roman" w:eastAsia="黑体" w:hAnsi="Times New Roman"/>
          <w:b w:val="0"/>
        </w:rPr>
      </w:pPr>
      <w:bookmarkStart w:id="43" w:name="_Toc15377221"/>
      <w:bookmarkStart w:id="44" w:name="_Toc15396612"/>
      <w:r>
        <w:rPr>
          <w:rStyle w:val="2Char"/>
          <w:rFonts w:ascii="Times New Roman" w:eastAsia="黑体" w:hAnsi="Times New Roman"/>
          <w:b w:val="0"/>
        </w:rPr>
        <w:t>十、其他重要事项的情况说明</w:t>
      </w:r>
      <w:bookmarkEnd w:id="43"/>
      <w:bookmarkEnd w:id="44"/>
    </w:p>
    <w:p>
      <w:pPr>
        <w:spacing w:line="600" w:lineRule="exact"/>
        <w:ind w:firstLineChars="200" w:firstLine="640"/>
        <w:outlineLvl w:val="2"/>
        <w:rPr>
          <w:rFonts w:eastAsia="楷体_GB2312"/>
          <w:b/>
          <w:sz w:val="32"/>
          <w:szCs w:val="32"/>
        </w:rPr>
      </w:pPr>
      <w:bookmarkStart w:id="45" w:name="_Toc15377222"/>
      <w:r>
        <w:rPr>
          <w:rFonts w:eastAsia="楷体_GB2312"/>
          <w:b/>
          <w:sz w:val="32"/>
          <w:szCs w:val="32"/>
        </w:rPr>
        <w:t>（一）机关运行经费支出情况</w:t>
      </w:r>
      <w:bookmarkEnd w:id="45"/>
    </w:p>
    <w:p>
      <w:pPr>
        <w:spacing w:line="600" w:lineRule="exact"/>
        <w:ind w:firstLine="640"/>
        <w:rPr>
          <w:rFonts w:eastAsia="仿宋_GB2312"/>
          <w:sz w:val="32"/>
          <w:szCs w:val="32"/>
        </w:rPr>
      </w:pPr>
      <w:r>
        <w:rPr>
          <w:rFonts w:eastAsia="仿宋_GB2312"/>
          <w:sz w:val="32"/>
          <w:szCs w:val="32"/>
        </w:rPr>
        <w:t>2025年度，四川省攀枝花市档案馆机关运行经费支出</w:t>
      </w:r>
      <w:r>
        <w:rPr>
          <w:rFonts w:eastAsia="仿宋_GB2312" w:hint="eastAsia"/>
          <w:sz w:val="32"/>
          <w:szCs w:val="32"/>
        </w:rPr>
        <w:t>44.87</w:t>
      </w:r>
      <w:r>
        <w:rPr>
          <w:rFonts w:eastAsia="仿宋_GB2312"/>
          <w:sz w:val="32"/>
          <w:szCs w:val="32"/>
        </w:rPr>
        <w:t>万元，比2024年度</w:t>
      </w:r>
      <w:r>
        <w:rPr>
          <w:rFonts w:eastAsia="仿宋_GB2312" w:hint="eastAsia"/>
          <w:sz w:val="32"/>
          <w:szCs w:val="32"/>
        </w:rPr>
        <w:t>减少27.16</w:t>
      </w:r>
      <w:r>
        <w:rPr>
          <w:rFonts w:eastAsia="仿宋_GB2312"/>
          <w:sz w:val="32"/>
          <w:szCs w:val="32"/>
        </w:rPr>
        <w:t>万元，下降</w:t>
      </w:r>
      <w:r>
        <w:rPr>
          <w:rFonts w:eastAsia="仿宋_GB2312" w:hint="eastAsia"/>
          <w:sz w:val="32"/>
          <w:szCs w:val="32"/>
        </w:rPr>
        <w:t>37.7</w:t>
      </w:r>
      <w:r>
        <w:rPr>
          <w:rFonts w:eastAsia="仿宋_GB2312"/>
          <w:sz w:val="32"/>
          <w:szCs w:val="32"/>
        </w:rPr>
        <w:t>%。主要原因是</w:t>
      </w:r>
      <w:r>
        <w:rPr>
          <w:rFonts w:eastAsia="仿宋_GB2312" w:hint="eastAsia"/>
          <w:sz w:val="32"/>
          <w:szCs w:val="32"/>
        </w:rPr>
        <w:t>坚持</w:t>
      </w:r>
      <w:r>
        <w:rPr>
          <w:rFonts w:eastAsia="仿宋_GB2312"/>
          <w:sz w:val="32"/>
          <w:szCs w:val="32"/>
        </w:rPr>
        <w:t>厉行节约，压缩</w:t>
      </w:r>
      <w:r>
        <w:rPr>
          <w:rFonts w:eastAsia="仿宋_GB2312" w:hint="eastAsia"/>
          <w:sz w:val="32"/>
          <w:szCs w:val="32"/>
        </w:rPr>
        <w:t>了办公费、邮电费等</w:t>
      </w:r>
      <w:r>
        <w:rPr>
          <w:rFonts w:eastAsia="仿宋_GB2312"/>
          <w:sz w:val="32"/>
          <w:szCs w:val="32"/>
        </w:rPr>
        <w:t>开支</w:t>
      </w:r>
      <w:r>
        <w:rPr>
          <w:rFonts w:eastAsia="仿宋_GB2312" w:hint="eastAsia"/>
          <w:sz w:val="32"/>
          <w:szCs w:val="32"/>
        </w:rPr>
        <w:t>，</w:t>
      </w:r>
      <w:r>
        <w:rPr>
          <w:rFonts w:eastAsia="仿宋_GB2312"/>
          <w:sz w:val="32"/>
          <w:szCs w:val="32"/>
          <w:lang w:val="en-US" w:eastAsia="zh-CN" w:bidi="ar-SA"/>
          <w:highlight w:val="auto"/>
        </w:rPr>
        <w:t>压减办公设备购置</w:t>
      </w:r>
      <w:r>
        <w:rPr>
          <w:rFonts w:eastAsia="仿宋_GB2312" w:hint="eastAsia"/>
          <w:sz w:val="32"/>
          <w:szCs w:val="32"/>
        </w:rPr>
        <w:t>等非年度</w:t>
      </w:r>
      <w:r>
        <w:rPr>
          <w:rFonts w:eastAsia="仿宋_GB2312"/>
          <w:sz w:val="32"/>
          <w:szCs w:val="32"/>
          <w:lang w:val="en-US" w:eastAsia="zh-CN" w:bidi="ar-SA"/>
          <w:highlight w:val="auto"/>
        </w:rPr>
        <w:t>支出</w:t>
      </w:r>
      <w:r>
        <w:rPr>
          <w:rFonts w:eastAsia="仿宋_GB2312" w:hint="eastAsia"/>
          <w:sz w:val="32"/>
          <w:szCs w:val="32"/>
        </w:rPr>
        <w:t>用费</w:t>
      </w:r>
      <w:r>
        <w:rPr>
          <w:rFonts w:eastAsia="仿宋_GB2312"/>
          <w:sz w:val="32"/>
          <w:szCs w:val="32"/>
        </w:rPr>
        <w:t>。</w:t>
      </w:r>
    </w:p>
    <w:p>
      <w:pPr>
        <w:spacing w:line="600" w:lineRule="exact"/>
        <w:ind w:firstLineChars="200" w:firstLine="640"/>
        <w:outlineLvl w:val="2"/>
        <w:rPr>
          <w:rFonts w:eastAsia="楷体_GB2312"/>
          <w:b/>
          <w:sz w:val="32"/>
          <w:szCs w:val="32"/>
        </w:rPr>
      </w:pPr>
      <w:bookmarkStart w:id="46" w:name="_Toc15377223"/>
      <w:r>
        <w:rPr>
          <w:rFonts w:eastAsia="楷体_GB2312"/>
          <w:b/>
          <w:sz w:val="32"/>
          <w:szCs w:val="32"/>
        </w:rPr>
        <w:t>（二）政府采购支出情况</w:t>
      </w:r>
      <w:bookmarkEnd w:id="46"/>
    </w:p>
    <w:p>
      <w:pPr>
        <w:spacing w:line="600" w:lineRule="exact"/>
        <w:ind w:firstLine="640"/>
        <w:rPr>
          <w:rFonts w:eastAsia="仿宋_GB2312"/>
          <w:sz w:val="32"/>
          <w:szCs w:val="32"/>
        </w:rPr>
      </w:pPr>
      <w:r>
        <w:rPr>
          <w:rFonts w:eastAsia="仿宋_GB2312"/>
          <w:sz w:val="32"/>
          <w:szCs w:val="32"/>
        </w:rPr>
        <w:t>2025年度，四川省攀枝花市档案馆政府采购支出总额</w:t>
      </w:r>
      <w:r>
        <w:rPr>
          <w:rFonts w:eastAsia="仿宋_GB2312" w:hint="eastAsia"/>
          <w:sz w:val="32"/>
          <w:szCs w:val="32"/>
        </w:rPr>
        <w:t>0.79</w:t>
      </w:r>
      <w:r>
        <w:rPr>
          <w:rFonts w:eastAsia="仿宋_GB2312"/>
          <w:sz w:val="32"/>
          <w:szCs w:val="32"/>
        </w:rPr>
        <w:t>万元，其中：政府采购货物支出</w:t>
      </w:r>
      <w:r>
        <w:rPr>
          <w:rFonts w:eastAsia="仿宋_GB2312" w:hint="eastAsia"/>
          <w:sz w:val="32"/>
          <w:szCs w:val="32"/>
        </w:rPr>
        <w:t>0</w:t>
      </w:r>
      <w:r>
        <w:rPr>
          <w:rFonts w:eastAsia="仿宋_GB2312"/>
          <w:sz w:val="32"/>
          <w:szCs w:val="32"/>
        </w:rPr>
        <w:t>万元、政府采购工程支出</w:t>
      </w:r>
      <w:r>
        <w:rPr>
          <w:rFonts w:eastAsia="仿宋_GB2312" w:hint="eastAsia"/>
          <w:sz w:val="32"/>
          <w:szCs w:val="32"/>
        </w:rPr>
        <w:t>0</w:t>
      </w:r>
      <w:r>
        <w:rPr>
          <w:rFonts w:eastAsia="仿宋_GB2312"/>
          <w:sz w:val="32"/>
          <w:szCs w:val="32"/>
        </w:rPr>
        <w:t>万元、政府采购服务支出</w:t>
      </w:r>
      <w:r>
        <w:rPr>
          <w:rFonts w:eastAsia="仿宋_GB2312" w:hint="eastAsia"/>
          <w:sz w:val="32"/>
          <w:szCs w:val="32"/>
        </w:rPr>
        <w:t>0.79</w:t>
      </w:r>
      <w:r>
        <w:rPr>
          <w:rFonts w:eastAsia="仿宋_GB2312"/>
          <w:sz w:val="32"/>
          <w:szCs w:val="32"/>
        </w:rPr>
        <w:t>万元。主要用于购买</w:t>
      </w:r>
      <w:r>
        <w:rPr>
          <w:rFonts w:eastAsia="仿宋_GB2312" w:hint="eastAsia"/>
          <w:sz w:val="32"/>
          <w:szCs w:val="32"/>
        </w:rPr>
        <w:t>公务用车财产保险、维修保养和加油等服务</w:t>
      </w:r>
      <w:r>
        <w:rPr>
          <w:rFonts w:eastAsia="仿宋_GB2312"/>
          <w:sz w:val="32"/>
          <w:szCs w:val="32"/>
        </w:rPr>
        <w:t>。授予中小企业合同金额</w:t>
      </w:r>
      <w:r>
        <w:rPr>
          <w:rFonts w:eastAsia="仿宋_GB2312" w:hint="eastAsia"/>
          <w:sz w:val="32"/>
          <w:szCs w:val="32"/>
        </w:rPr>
        <w:t>0.49</w:t>
      </w:r>
      <w:r>
        <w:rPr>
          <w:rFonts w:eastAsia="仿宋_GB2312"/>
          <w:sz w:val="32"/>
          <w:szCs w:val="32"/>
        </w:rPr>
        <w:t>万元，占政府采购支出总额的</w:t>
      </w:r>
      <w:r>
        <w:rPr>
          <w:rFonts w:eastAsia="仿宋_GB2312" w:hint="eastAsia"/>
          <w:sz w:val="32"/>
          <w:szCs w:val="32"/>
        </w:rPr>
        <w:t>62</w:t>
      </w:r>
      <w:r>
        <w:rPr>
          <w:rFonts w:eastAsia="仿宋_GB2312"/>
          <w:sz w:val="32"/>
          <w:szCs w:val="32"/>
        </w:rPr>
        <w:t>%，其中：授予小微企业合同金额</w:t>
      </w:r>
      <w:r>
        <w:rPr>
          <w:rFonts w:eastAsia="仿宋_GB2312" w:hint="eastAsia"/>
          <w:sz w:val="32"/>
          <w:szCs w:val="32"/>
        </w:rPr>
        <w:t>0.3</w:t>
      </w:r>
      <w:r>
        <w:rPr>
          <w:rFonts w:eastAsia="仿宋_GB2312"/>
          <w:sz w:val="32"/>
          <w:szCs w:val="32"/>
        </w:rPr>
        <w:t>万元，占政府采购支出总额的</w:t>
      </w:r>
      <w:r>
        <w:rPr>
          <w:rFonts w:eastAsia="仿宋_GB2312" w:hint="eastAsia"/>
          <w:sz w:val="32"/>
          <w:szCs w:val="32"/>
        </w:rPr>
        <w:t>38</w:t>
      </w:r>
      <w:r>
        <w:rPr>
          <w:rFonts w:eastAsia="仿宋_GB2312"/>
          <w:sz w:val="32"/>
          <w:szCs w:val="32"/>
        </w:rPr>
        <w:t>%。</w:t>
      </w:r>
    </w:p>
    <w:p>
      <w:pPr>
        <w:spacing w:line="600" w:lineRule="exact"/>
        <w:ind w:firstLineChars="200" w:firstLine="640"/>
        <w:outlineLvl w:val="2"/>
        <w:rPr>
          <w:rFonts w:eastAsia="楷体_GB2312"/>
          <w:b/>
          <w:sz w:val="32"/>
          <w:szCs w:val="32"/>
        </w:rPr>
      </w:pPr>
      <w:bookmarkStart w:id="47" w:name="_Toc15377224"/>
      <w:r>
        <w:rPr>
          <w:rFonts w:eastAsia="楷体_GB2312"/>
          <w:b/>
          <w:sz w:val="32"/>
          <w:szCs w:val="32"/>
        </w:rPr>
        <w:t>（三）国有资产占有使用情况</w:t>
      </w:r>
      <w:bookmarkEnd w:id="47"/>
    </w:p>
    <w:p>
      <w:pPr>
        <w:spacing w:line="600" w:lineRule="exact"/>
        <w:ind w:firstLine="640"/>
        <w:rPr>
          <w:rFonts w:eastAsia="仿宋_GB2312"/>
          <w:sz w:val="32"/>
          <w:szCs w:val="32"/>
        </w:rPr>
      </w:pPr>
      <w:r>
        <w:rPr>
          <w:rFonts w:eastAsia="仿宋_GB2312"/>
          <w:sz w:val="32"/>
          <w:szCs w:val="32"/>
        </w:rPr>
        <w:t>截至2025年12月31日，四川省攀枝花市档案馆共有车辆1辆，其中：主要负责人用车0辆、机要通信用车0辆、应急保障用车0辆、其他用车1辆，其他用车主要是用于外出调研考察、参加重要会议、办理涉密事项和公务接待等。单价100万元（含）以上设备（不含车辆）0台（套）。</w:t>
      </w:r>
    </w:p>
    <w:p>
      <w:pPr>
        <w:spacing w:line="600" w:lineRule="exact"/>
        <w:ind w:firstLineChars="200" w:firstLine="640"/>
        <w:outlineLvl w:val="2"/>
        <w:rPr>
          <w:rFonts w:eastAsia="楷体_GB2312"/>
          <w:b/>
          <w:sz w:val="32"/>
          <w:szCs w:val="32"/>
        </w:rPr>
      </w:pPr>
      <w:r>
        <w:rPr>
          <w:rFonts w:eastAsia="楷体_GB2312"/>
          <w:b/>
          <w:sz w:val="32"/>
          <w:szCs w:val="32"/>
        </w:rPr>
        <w:t>（四）预算绩效管理情况</w:t>
      </w:r>
    </w:p>
    <w:p>
      <w:pPr>
        <w:spacing w:line="600" w:lineRule="exact"/>
        <w:ind w:firstLine="640"/>
        <w:rPr>
          <w:rFonts w:eastAsia="仿宋_GB2312"/>
          <w:sz w:val="32"/>
          <w:szCs w:val="32"/>
        </w:rPr>
      </w:pPr>
      <w:r>
        <w:rPr>
          <w:rFonts w:eastAsia="仿宋_GB2312"/>
          <w:sz w:val="32"/>
          <w:szCs w:val="32"/>
        </w:rPr>
        <w:t>根据预算绩效管理要求，本单位在2025年度预算编制阶段，组织对市档案馆搬迁经费（项目名称）等</w:t>
      </w:r>
      <w:r>
        <w:rPr>
          <w:rFonts w:eastAsia="仿宋_GB2312" w:hint="eastAsia"/>
          <w:sz w:val="32"/>
          <w:szCs w:val="32"/>
        </w:rPr>
        <w:t>30</w:t>
      </w:r>
      <w:r>
        <w:rPr>
          <w:rFonts w:eastAsia="仿宋_GB2312"/>
          <w:sz w:val="32"/>
          <w:szCs w:val="32"/>
        </w:rPr>
        <w:t>个项目开展了预算事前绩效评估，对</w:t>
      </w:r>
      <w:r>
        <w:rPr>
          <w:rFonts w:eastAsia="仿宋_GB2312" w:hint="eastAsia"/>
          <w:sz w:val="32"/>
          <w:szCs w:val="32"/>
        </w:rPr>
        <w:t>30</w:t>
      </w:r>
      <w:r>
        <w:rPr>
          <w:rFonts w:eastAsia="仿宋_GB2312"/>
          <w:sz w:val="32"/>
          <w:szCs w:val="32"/>
        </w:rPr>
        <w:t>个项目编制了绩效目标，预算执行过程中，选取30个项目开展绩效监控。</w:t>
      </w:r>
    </w:p>
    <w:p>
      <w:pPr>
        <w:spacing w:line="600" w:lineRule="exact"/>
        <w:ind w:firstLine="640"/>
        <w:rPr>
          <w:rFonts w:eastAsia="仿宋_GB2312"/>
          <w:sz w:val="32"/>
          <w:szCs w:val="32"/>
        </w:rPr>
      </w:pPr>
    </w:p>
    <w:p>
      <w:pPr>
        <w:spacing w:line="600" w:lineRule="exact"/>
        <w:ind w:firstLine="640"/>
        <w:rPr>
          <w:rFonts w:eastAsia="仿宋_GB2312"/>
          <w:sz w:val="32"/>
          <w:szCs w:val="32"/>
        </w:rPr>
      </w:pPr>
    </w:p>
    <w:p>
      <w:pPr>
        <w:spacing w:line="600" w:lineRule="exact"/>
        <w:ind w:firstLine="640"/>
        <w:rPr>
          <w:rFonts w:eastAsia="仿宋_GB2312"/>
          <w:sz w:val="32"/>
          <w:szCs w:val="32"/>
        </w:rPr>
      </w:pPr>
    </w:p>
    <w:p>
      <w:pPr>
        <w:spacing w:line="600" w:lineRule="exact"/>
        <w:ind w:firstLine="640"/>
        <w:rPr>
          <w:rFonts w:eastAsia="仿宋_GB2312"/>
          <w:sz w:val="32"/>
          <w:szCs w:val="32"/>
        </w:rPr>
      </w:pPr>
    </w:p>
    <w:p>
      <w:pPr>
        <w:spacing w:line="600" w:lineRule="exact"/>
        <w:jc w:val="center"/>
        <w:outlineLvl w:val="0"/>
        <w:rPr>
          <w:rFonts w:eastAsia="黑体"/>
          <w:sz w:val="44"/>
          <w:szCs w:val="44"/>
        </w:rPr>
      </w:pPr>
      <w:bookmarkStart w:id="48" w:name="_Toc15377225"/>
      <w:bookmarkStart w:id="49" w:name="_Toc15396613"/>
      <w:r>
        <w:rPr>
          <w:rFonts w:eastAsia="黑体"/>
          <w:sz w:val="44"/>
          <w:szCs w:val="44"/>
        </w:rPr>
        <w:br w:type="page"/>
      </w:r>
    </w:p>
    <w:p>
      <w:pPr>
        <w:spacing w:line="600" w:lineRule="exact"/>
        <w:jc w:val="center"/>
        <w:outlineLvl w:val="0"/>
        <w:rPr>
          <w:rFonts w:eastAsia="黑体"/>
          <w:sz w:val="44"/>
          <w:szCs w:val="44"/>
        </w:rPr>
      </w:pPr>
      <w:r>
        <w:rPr>
          <w:rFonts w:eastAsia="黑体"/>
          <w:sz w:val="44"/>
          <w:szCs w:val="44"/>
        </w:rPr>
        <w:t>第三部分名词解释</w:t>
      </w:r>
      <w:bookmarkEnd w:id="48"/>
      <w:bookmarkEnd w:id="49"/>
    </w:p>
    <w:p>
      <w:pPr>
        <w:spacing w:line="600" w:lineRule="exact"/>
        <w:jc w:val="left"/>
        <w:rPr>
          <w:b/>
          <w:sz w:val="44"/>
          <w:szCs w:val="44"/>
        </w:rPr>
      </w:pPr>
    </w:p>
    <w:p>
      <w:pPr>
        <w:spacing w:line="600" w:lineRule="exact"/>
        <w:ind w:firstLine="640"/>
        <w:rPr>
          <w:rFonts w:eastAsia="仿宋_GB2312"/>
          <w:sz w:val="32"/>
          <w:szCs w:val="32"/>
        </w:rPr>
      </w:pPr>
      <w:r>
        <w:rPr>
          <w:rFonts w:eastAsia="仿宋_GB2312"/>
          <w:sz w:val="32"/>
          <w:szCs w:val="32"/>
        </w:rPr>
        <w:t>1.财政拨款收入：指单位从同级财政部门取得的财政预算资金。</w:t>
      </w:r>
    </w:p>
    <w:p>
      <w:pPr>
        <w:spacing w:line="600" w:lineRule="exact"/>
        <w:ind w:firstLine="640"/>
        <w:rPr>
          <w:rFonts w:eastAsia="仿宋_GB2312"/>
          <w:sz w:val="32"/>
          <w:szCs w:val="32"/>
        </w:rPr>
      </w:pPr>
      <w:r>
        <w:rPr>
          <w:rFonts w:eastAsia="仿宋_GB2312"/>
          <w:sz w:val="32"/>
          <w:szCs w:val="32"/>
        </w:rPr>
        <w:t>2.事业收入：指事业单位开展专业业务活动及辅助活动取得的收入。</w:t>
      </w:r>
    </w:p>
    <w:p>
      <w:pPr>
        <w:spacing w:line="600" w:lineRule="exact"/>
        <w:ind w:firstLine="640"/>
        <w:rPr>
          <w:rFonts w:eastAsia="仿宋_GB2312"/>
          <w:sz w:val="32"/>
          <w:szCs w:val="32"/>
        </w:rPr>
      </w:pPr>
      <w:r>
        <w:rPr>
          <w:rFonts w:eastAsia="仿宋_GB2312"/>
          <w:sz w:val="32"/>
          <w:szCs w:val="32"/>
        </w:rPr>
        <w:t>3.经营收入：指事业单位在专业业务活动及其辅助活动之外开展非独立核算经营活动取得的收入。</w:t>
      </w:r>
    </w:p>
    <w:p>
      <w:pPr>
        <w:spacing w:line="600" w:lineRule="exact"/>
        <w:ind w:firstLine="640"/>
        <w:rPr>
          <w:rFonts w:eastAsia="仿宋_GB2312"/>
          <w:sz w:val="32"/>
          <w:szCs w:val="32"/>
        </w:rPr>
      </w:pPr>
      <w:r>
        <w:rPr>
          <w:rFonts w:eastAsia="仿宋_GB2312"/>
          <w:sz w:val="32"/>
          <w:szCs w:val="32"/>
        </w:rPr>
        <w:t xml:space="preserve">4.其他收入：指单位取得的除上述收入以外的各项收入。 </w:t>
      </w:r>
    </w:p>
    <w:p>
      <w:pPr>
        <w:spacing w:line="600" w:lineRule="exact"/>
        <w:ind w:firstLine="640"/>
        <w:rPr>
          <w:rFonts w:eastAsia="仿宋_GB2312"/>
          <w:sz w:val="32"/>
          <w:szCs w:val="32"/>
        </w:rPr>
      </w:pPr>
      <w:r>
        <w:rPr>
          <w:rFonts w:eastAsia="仿宋_GB2312"/>
          <w:sz w:val="32"/>
          <w:szCs w:val="32"/>
        </w:rPr>
        <w:t xml:space="preserve">5.使用非财政拨款结余（含专用结余）：指事业单位使用以前年度积累的非财政拨款结余弥补当年收支差额的金额。 </w:t>
      </w:r>
    </w:p>
    <w:p>
      <w:pPr>
        <w:spacing w:line="600" w:lineRule="exact"/>
        <w:ind w:firstLine="640"/>
        <w:rPr>
          <w:rFonts w:eastAsia="仿宋_GB2312"/>
          <w:sz w:val="32"/>
          <w:szCs w:val="32"/>
        </w:rPr>
      </w:pPr>
      <w:r>
        <w:rPr>
          <w:rFonts w:eastAsia="仿宋_GB2312"/>
          <w:sz w:val="32"/>
          <w:szCs w:val="32"/>
        </w:rPr>
        <w:t xml:space="preserve">6.年初结转和结余：指以前年度尚未完成、结转到本年按有关规定继续使用的资金。 </w:t>
      </w:r>
    </w:p>
    <w:p>
      <w:pPr>
        <w:spacing w:line="600" w:lineRule="exact"/>
        <w:ind w:firstLine="640"/>
        <w:rPr>
          <w:rFonts w:eastAsia="仿宋_GB2312"/>
          <w:sz w:val="32"/>
          <w:szCs w:val="32"/>
        </w:rPr>
      </w:pPr>
      <w:r>
        <w:rPr>
          <w:rFonts w:eastAsia="仿宋_GB2312"/>
          <w:sz w:val="32"/>
          <w:szCs w:val="32"/>
        </w:rPr>
        <w:t>7.结余分配：指事业单位按照会计制度规定缴纳的所得税、提取的专用结余以及转入非财政拨款结余的金额等。</w:t>
      </w:r>
    </w:p>
    <w:p>
      <w:pPr>
        <w:spacing w:line="600" w:lineRule="exact"/>
        <w:ind w:firstLine="640"/>
        <w:rPr>
          <w:rFonts w:eastAsia="仿宋_GB2312"/>
          <w:sz w:val="32"/>
          <w:szCs w:val="32"/>
        </w:rPr>
      </w:pPr>
      <w:r>
        <w:rPr>
          <w:rFonts w:eastAsia="仿宋_GB2312"/>
          <w:sz w:val="32"/>
          <w:szCs w:val="32"/>
        </w:rPr>
        <w:t>8.年末结转和结余：指单位按有关规定结转到下年或以后年度继续使用的资金。</w:t>
      </w:r>
    </w:p>
    <w:p>
      <w:pPr>
        <w:spacing w:line="600" w:lineRule="exact"/>
        <w:ind w:firstLine="640"/>
        <w:rPr>
          <w:rFonts w:eastAsia="仿宋_GB2312"/>
          <w:sz w:val="32"/>
          <w:szCs w:val="32"/>
        </w:rPr>
      </w:pPr>
      <w:r>
        <w:rPr>
          <w:rFonts w:eastAsia="仿宋_GB2312"/>
          <w:sz w:val="32"/>
          <w:szCs w:val="32"/>
        </w:rPr>
        <w:t>9.一般公共服务（类）档案事务（款）行政运行（项）、档案馆（项）: 指保障市档案馆特定档案业务工作开展使用的资金。</w:t>
      </w:r>
    </w:p>
    <w:p>
      <w:pPr>
        <w:spacing w:line="600" w:lineRule="exact"/>
        <w:ind w:firstLine="640"/>
        <w:rPr>
          <w:rFonts w:eastAsia="仿宋_GB2312"/>
          <w:sz w:val="32"/>
          <w:szCs w:val="32"/>
        </w:rPr>
      </w:pPr>
      <w:r>
        <w:rPr>
          <w:rFonts w:eastAsia="仿宋_GB2312"/>
          <w:sz w:val="32"/>
          <w:szCs w:val="32"/>
        </w:rPr>
        <w:t>10.一般公共服务支出（类）人大事务（款）行政运行（项）： 指支出</w:t>
      </w:r>
      <w:r>
        <w:rPr>
          <w:rFonts w:eastAsia="仿宋_GB2312" w:hint="eastAsia"/>
          <w:sz w:val="32"/>
          <w:szCs w:val="32"/>
        </w:rPr>
        <w:t>部分7-10月人员工资、工伤保险、职业年金等费用</w:t>
      </w:r>
      <w:r>
        <w:rPr>
          <w:rFonts w:eastAsia="仿宋_GB2312"/>
          <w:sz w:val="32"/>
          <w:szCs w:val="32"/>
        </w:rPr>
        <w:t>。</w:t>
      </w:r>
    </w:p>
    <w:p>
      <w:pPr>
        <w:spacing w:line="600" w:lineRule="exact"/>
        <w:ind w:firstLine="640"/>
        <w:rPr>
          <w:rFonts w:eastAsia="仿宋_GB2312"/>
          <w:sz w:val="32"/>
          <w:szCs w:val="32"/>
        </w:rPr>
      </w:pPr>
      <w:r>
        <w:rPr>
          <w:rFonts w:eastAsia="仿宋_GB2312"/>
          <w:sz w:val="32"/>
          <w:szCs w:val="32"/>
        </w:rPr>
        <w:t>11.社会保障和就业（类）行政事业单位养老（款）退休支出（项）: 指市档案馆退休职工生活补助支出。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12.社会保障和就业（类）行政事业单位养老（款）机关事业基本养老保险支出（项）: 指市档案馆职工养老保险缴费支出。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13.社会保障和就业（类）抚恤（款）死亡抚恤支出（项）: 指市档案馆在职及退休职工死亡抚恤支出、遗属生活补助支出。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14.卫生健康（类）其他卫生健康（款）其他卫生健康支出（项）:指市档案馆异地老干部体检费支出。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15.住房保障（类）住房改革（款）住房公积金支出（项）: 指市档案馆职工住房公积金支出。</w:t>
      </w:r>
    </w:p>
    <w:p>
      <w:pPr>
        <w:widowControl w:val="0"/>
        <w:suppressAutoHyphens/>
        <w:spacing w:line="576" w:lineRule="exact"/>
        <w:ind w:firstLineChars="200" w:firstLine="640"/>
        <w:rPr>
          <w:rFonts w:eastAsia="仿宋_GB2312"/>
          <w:sz w:val="32"/>
          <w:szCs w:val="32"/>
        </w:rPr>
      </w:pPr>
      <w:r>
        <w:rPr>
          <w:rFonts w:eastAsia="仿宋_GB2312"/>
          <w:sz w:val="32"/>
          <w:szCs w:val="32"/>
        </w:rPr>
        <w:t>16.基本支出：指为保障机构正常运转、完成日常工作任务而发生的人员支出和公用支出。</w:t>
      </w:r>
    </w:p>
    <w:p>
      <w:pPr>
        <w:widowControl w:val="0"/>
        <w:suppressAutoHyphens/>
        <w:spacing w:line="576" w:lineRule="exact"/>
        <w:ind w:firstLineChars="200" w:firstLine="640"/>
        <w:rPr>
          <w:rFonts w:eastAsia="仿宋_GB2312"/>
          <w:sz w:val="32"/>
          <w:szCs w:val="32"/>
        </w:rPr>
      </w:pPr>
      <w:r>
        <w:rPr>
          <w:rFonts w:eastAsia="仿宋_GB2312"/>
          <w:sz w:val="32"/>
          <w:szCs w:val="32"/>
        </w:rPr>
        <w:t xml:space="preserve">17.项目支出：指在基本支出之外为完成特定行政任务和事业发展目标所发生的支出。 </w:t>
      </w:r>
    </w:p>
    <w:p>
      <w:pPr>
        <w:widowControl w:val="0"/>
        <w:suppressAutoHyphens/>
        <w:spacing w:line="576" w:lineRule="exact"/>
        <w:ind w:firstLineChars="200" w:firstLine="640"/>
        <w:rPr>
          <w:rFonts w:eastAsia="仿宋_GB2312"/>
          <w:sz w:val="32"/>
          <w:szCs w:val="32"/>
        </w:rPr>
      </w:pPr>
      <w:r>
        <w:rPr>
          <w:rFonts w:eastAsia="仿宋_GB2312"/>
          <w:sz w:val="32"/>
          <w:szCs w:val="32"/>
        </w:rPr>
        <w:t>18.经营支出：指事业单位在专业业务活动及其辅助活动之外开展非独立核算经营活动发生的支出。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19.“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1"/>
        <w:spacing w:line="576" w:lineRule="exact"/>
        <w:ind w:firstLineChars="200" w:firstLine="640"/>
        <w:rPr>
          <w:rFonts w:ascii="Times New Roman" w:eastAsia="仿宋_GB2312" w:cs="Times New Roman" w:hAnsi="Times New Roman"/>
          <w:color w:val="auto"/>
          <w:kern w:val="2"/>
          <w:sz w:val="32"/>
          <w:szCs w:val="32"/>
        </w:rPr>
      </w:pPr>
      <w:r>
        <w:rPr>
          <w:rFonts w:ascii="Times New Roman" w:eastAsia="仿宋_GB2312" w:cs="Times New Roman" w:hAnsi="Times New Roman"/>
          <w:color w:val="auto"/>
          <w:kern w:val="2"/>
          <w:sz w:val="32"/>
          <w:szCs w:val="32"/>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Fonts w:eastAsia="黑体"/>
          <w:sz w:val="44"/>
          <w:szCs w:val="44"/>
        </w:rPr>
      </w:pPr>
      <w:bookmarkStart w:id="50" w:name="_Toc15396614"/>
      <w:bookmarkStart w:id="51" w:name="_Toc15377226"/>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Fonts w:eastAsia="黑体"/>
          <w:sz w:val="44"/>
          <w:szCs w:val="44"/>
        </w:rPr>
      </w:pPr>
    </w:p>
    <w:p>
      <w:pPr>
        <w:spacing w:line="600" w:lineRule="exact"/>
        <w:jc w:val="center"/>
        <w:rPr>
          <w:rStyle w:val="1Char"/>
          <w:rFonts w:eastAsia="黑体"/>
          <w:b w:val="0"/>
        </w:rPr>
      </w:pPr>
      <w:r>
        <w:rPr>
          <w:rFonts w:eastAsia="黑体"/>
          <w:sz w:val="44"/>
          <w:szCs w:val="44"/>
        </w:rPr>
        <w:t>第四部分 附件</w:t>
      </w:r>
      <w:bookmarkEnd w:id="50"/>
    </w:p>
    <w:p>
      <w:pPr>
        <w:spacing w:line="572" w:lineRule="exact"/>
        <w:jc w:val="left"/>
        <w:outlineLvl w:val="0"/>
        <w:rPr>
          <w:rFonts w:eastAsia="黑体"/>
          <w:color w:val="FF0000"/>
          <w:sz w:val="32"/>
          <w:szCs w:val="32"/>
        </w:rPr>
      </w:pPr>
    </w:p>
    <w:p>
      <w:pPr>
        <w:pStyle w:val="17"/>
        <w:spacing w:line="560" w:lineRule="exact"/>
        <w:ind w:leftChars="0" w:left="0"/>
        <w:rPr>
          <w:rFonts w:ascii="Times New Roman" w:eastAsia="仿宋_GB2312" w:hAnsi="Times New Roman"/>
          <w:sz w:val="32"/>
        </w:rPr>
      </w:pPr>
      <w:r>
        <w:rPr>
          <w:rFonts w:ascii="Times New Roman" w:eastAsia="仿宋_GB2312" w:hAnsi="Times New Roman"/>
          <w:sz w:val="32"/>
        </w:rPr>
        <w:t>单位预算项目支出绩效自评表（2025年度）见附件3。</w:t>
      </w:r>
    </w:p>
    <w:p>
      <w:pPr>
        <w:pStyle w:val="17"/>
        <w:spacing w:line="560" w:lineRule="exact"/>
        <w:rPr>
          <w:rFonts w:ascii="Times New Roman" w:hAnsi="Times New Roman"/>
          <w:sz w:val="32"/>
          <w:lang w:val="zh-CN"/>
          <w:highlight w:val="yellow"/>
        </w:rPr>
      </w:pPr>
    </w:p>
    <w:p>
      <w:pPr>
        <w:widowControl/>
        <w:jc w:val="center"/>
        <w:rPr>
          <w:rFonts w:eastAsia="黑体"/>
          <w:sz w:val="44"/>
          <w:szCs w:val="44"/>
        </w:rPr>
      </w:pPr>
      <w:bookmarkStart w:id="52" w:name="_Toc15396618"/>
      <w:r>
        <w:rPr>
          <w:rFonts w:eastAsia="黑体"/>
          <w:sz w:val="44"/>
          <w:szCs w:val="44"/>
        </w:rPr>
        <w:br w:type="page"/>
      </w:r>
    </w:p>
    <w:p>
      <w:pPr>
        <w:widowControl/>
        <w:jc w:val="center"/>
        <w:rPr>
          <w:rFonts w:eastAsia="仿宋"/>
        </w:rPr>
      </w:pPr>
      <w:r>
        <w:rPr>
          <w:rFonts w:eastAsia="黑体"/>
          <w:sz w:val="44"/>
          <w:szCs w:val="44"/>
        </w:rPr>
        <w:t>第</w:t>
      </w:r>
      <w:r>
        <w:rPr>
          <w:rStyle w:val="1Char"/>
          <w:rFonts w:eastAsia="黑体"/>
          <w:b w:val="0"/>
        </w:rPr>
        <w:t>五部分 附表</w:t>
      </w:r>
      <w:bookmarkStart w:id="53" w:name="_Toc15396619"/>
      <w:bookmarkEnd w:id="51"/>
      <w:bookmarkEnd w:id="52"/>
    </w:p>
    <w:p>
      <w:pPr>
        <w:pStyle w:val="24"/>
        <w:tabs>
          <w:tab w:val="right" w:leader="dot" w:pos="8296"/>
        </w:tabs>
        <w:adjustRightInd w:val="0"/>
        <w:snapToGrid w:val="0"/>
        <w:spacing w:line="560" w:lineRule="exact"/>
        <w:jc w:val="left"/>
        <w:rPr>
          <w:rFonts w:eastAsia="仿宋_GB2312"/>
          <w:sz w:val="32"/>
          <w:szCs w:val="32"/>
        </w:rPr>
      </w:pPr>
    </w:p>
    <w:p>
      <w:pPr>
        <w:pStyle w:val="24"/>
        <w:tabs>
          <w:tab w:val="right" w:leader="dot" w:pos="8296"/>
        </w:tabs>
        <w:adjustRightInd w:val="0"/>
        <w:snapToGrid w:val="0"/>
        <w:spacing w:line="560" w:lineRule="exact"/>
        <w:jc w:val="left"/>
        <w:rPr>
          <w:rFonts w:eastAsia="仿宋_GB2312"/>
          <w:sz w:val="32"/>
          <w:szCs w:val="32"/>
        </w:rPr>
      </w:pPr>
      <w:r>
        <w:rPr>
          <w:rFonts w:eastAsia="仿宋_GB2312"/>
          <w:sz w:val="32"/>
          <w:szCs w:val="32"/>
        </w:rPr>
        <w:t>一、收入支出决算总表</w:t>
      </w:r>
      <w:bookmarkEnd w:id="53"/>
    </w:p>
    <w:p>
      <w:pPr>
        <w:pStyle w:val="24"/>
        <w:tabs>
          <w:tab w:val="right" w:leader="dot" w:pos="8296"/>
        </w:tabs>
        <w:adjustRightInd w:val="0"/>
        <w:snapToGrid w:val="0"/>
        <w:spacing w:line="560" w:lineRule="exact"/>
        <w:jc w:val="left"/>
        <w:rPr>
          <w:rFonts w:eastAsia="仿宋_GB2312"/>
          <w:sz w:val="32"/>
          <w:szCs w:val="32"/>
        </w:rPr>
      </w:pPr>
      <w:bookmarkStart w:id="54" w:name="_Toc15396620"/>
      <w:r>
        <w:rPr>
          <w:rFonts w:eastAsia="仿宋_GB2312"/>
          <w:sz w:val="32"/>
          <w:szCs w:val="32"/>
        </w:rPr>
        <w:t>二、收入决算表</w:t>
      </w:r>
      <w:bookmarkEnd w:id="54"/>
    </w:p>
    <w:p>
      <w:pPr>
        <w:pStyle w:val="24"/>
        <w:tabs>
          <w:tab w:val="right" w:leader="dot" w:pos="8296"/>
        </w:tabs>
        <w:adjustRightInd w:val="0"/>
        <w:snapToGrid w:val="0"/>
        <w:spacing w:line="560" w:lineRule="exact"/>
        <w:jc w:val="left"/>
        <w:rPr>
          <w:rFonts w:eastAsia="仿宋_GB2312"/>
          <w:sz w:val="32"/>
          <w:szCs w:val="32"/>
        </w:rPr>
      </w:pPr>
      <w:bookmarkStart w:id="55" w:name="_Toc15396621"/>
      <w:r>
        <w:rPr>
          <w:rFonts w:eastAsia="仿宋_GB2312"/>
          <w:sz w:val="32"/>
          <w:szCs w:val="32"/>
        </w:rPr>
        <w:t>三、支出决算表</w:t>
      </w:r>
      <w:bookmarkEnd w:id="55"/>
    </w:p>
    <w:p>
      <w:pPr>
        <w:pStyle w:val="24"/>
        <w:tabs>
          <w:tab w:val="right" w:leader="dot" w:pos="8296"/>
        </w:tabs>
        <w:adjustRightInd w:val="0"/>
        <w:snapToGrid w:val="0"/>
        <w:spacing w:line="560" w:lineRule="exact"/>
        <w:jc w:val="left"/>
        <w:rPr>
          <w:rFonts w:eastAsia="仿宋_GB2312"/>
          <w:sz w:val="32"/>
          <w:szCs w:val="32"/>
        </w:rPr>
      </w:pPr>
      <w:bookmarkStart w:id="56" w:name="_Toc15396622"/>
      <w:r>
        <w:rPr>
          <w:rFonts w:eastAsia="仿宋_GB2312"/>
          <w:sz w:val="32"/>
          <w:szCs w:val="32"/>
        </w:rPr>
        <w:t>四、财政拨款收入支出决算总表</w:t>
      </w:r>
      <w:bookmarkEnd w:id="56"/>
    </w:p>
    <w:p>
      <w:pPr>
        <w:pStyle w:val="24"/>
        <w:tabs>
          <w:tab w:val="right" w:leader="dot" w:pos="8296"/>
        </w:tabs>
        <w:adjustRightInd w:val="0"/>
        <w:snapToGrid w:val="0"/>
        <w:spacing w:line="560" w:lineRule="exact"/>
        <w:jc w:val="left"/>
        <w:rPr>
          <w:rFonts w:eastAsia="仿宋_GB2312"/>
          <w:sz w:val="32"/>
          <w:szCs w:val="32"/>
        </w:rPr>
      </w:pPr>
      <w:bookmarkStart w:id="57" w:name="_Toc15396623"/>
      <w:r>
        <w:rPr>
          <w:rFonts w:eastAsia="仿宋_GB2312"/>
          <w:sz w:val="32"/>
          <w:szCs w:val="32"/>
        </w:rPr>
        <w:t>五、财政拨款支出决算明细表</w:t>
      </w:r>
      <w:bookmarkStart w:id="58" w:name="_Toc15396624"/>
      <w:bookmarkEnd w:id="57"/>
    </w:p>
    <w:p>
      <w:pPr>
        <w:pStyle w:val="24"/>
        <w:tabs>
          <w:tab w:val="right" w:leader="dot" w:pos="8296"/>
        </w:tabs>
        <w:adjustRightInd w:val="0"/>
        <w:snapToGrid w:val="0"/>
        <w:spacing w:line="560" w:lineRule="exact"/>
        <w:jc w:val="left"/>
        <w:rPr>
          <w:rFonts w:eastAsia="仿宋_GB2312"/>
          <w:sz w:val="32"/>
          <w:szCs w:val="32"/>
        </w:rPr>
      </w:pPr>
      <w:r>
        <w:rPr>
          <w:rFonts w:eastAsia="仿宋_GB2312"/>
          <w:sz w:val="32"/>
          <w:szCs w:val="32"/>
        </w:rPr>
        <w:t>六、一般公共预算财政拨款支出决算表</w:t>
      </w:r>
      <w:bookmarkEnd w:id="58"/>
    </w:p>
    <w:p>
      <w:pPr>
        <w:pStyle w:val="24"/>
        <w:tabs>
          <w:tab w:val="right" w:leader="dot" w:pos="8296"/>
        </w:tabs>
        <w:adjustRightInd w:val="0"/>
        <w:snapToGrid w:val="0"/>
        <w:spacing w:line="560" w:lineRule="exact"/>
        <w:jc w:val="left"/>
        <w:rPr>
          <w:rFonts w:eastAsia="仿宋_GB2312"/>
          <w:sz w:val="32"/>
          <w:szCs w:val="32"/>
        </w:rPr>
      </w:pPr>
      <w:bookmarkStart w:id="59" w:name="_Toc15396625"/>
      <w:r>
        <w:rPr>
          <w:rFonts w:eastAsia="仿宋_GB2312"/>
          <w:sz w:val="32"/>
          <w:szCs w:val="32"/>
        </w:rPr>
        <w:t>七、一般公共预算财政拨款支出决算明细表</w:t>
      </w:r>
      <w:bookmarkEnd w:id="59"/>
    </w:p>
    <w:p>
      <w:pPr>
        <w:pStyle w:val="24"/>
        <w:tabs>
          <w:tab w:val="right" w:leader="dot" w:pos="8296"/>
        </w:tabs>
        <w:adjustRightInd w:val="0"/>
        <w:snapToGrid w:val="0"/>
        <w:spacing w:line="560" w:lineRule="exact"/>
        <w:jc w:val="left"/>
        <w:rPr>
          <w:rFonts w:eastAsia="仿宋_GB2312"/>
          <w:sz w:val="32"/>
          <w:szCs w:val="32"/>
        </w:rPr>
      </w:pPr>
      <w:bookmarkStart w:id="60" w:name="_Toc15396626"/>
      <w:r>
        <w:rPr>
          <w:rFonts w:eastAsia="仿宋_GB2312"/>
          <w:sz w:val="32"/>
          <w:szCs w:val="32"/>
        </w:rPr>
        <w:t>八、一般公共预算财政拨款基本支出决算表</w:t>
      </w:r>
      <w:bookmarkEnd w:id="60"/>
    </w:p>
    <w:p>
      <w:pPr>
        <w:pStyle w:val="24"/>
        <w:tabs>
          <w:tab w:val="right" w:leader="dot" w:pos="8296"/>
        </w:tabs>
        <w:adjustRightInd w:val="0"/>
        <w:snapToGrid w:val="0"/>
        <w:spacing w:line="560" w:lineRule="exact"/>
        <w:jc w:val="left"/>
        <w:rPr>
          <w:rFonts w:eastAsia="仿宋_GB2312"/>
          <w:sz w:val="32"/>
          <w:szCs w:val="32"/>
        </w:rPr>
      </w:pPr>
      <w:bookmarkStart w:id="61" w:name="_Toc15396627"/>
      <w:r>
        <w:rPr>
          <w:rFonts w:eastAsia="仿宋_GB2312"/>
          <w:sz w:val="32"/>
          <w:szCs w:val="32"/>
        </w:rPr>
        <w:t>九、一般公共预算财政拨款项目支出决算表</w:t>
      </w:r>
      <w:bookmarkEnd w:id="61"/>
    </w:p>
    <w:p>
      <w:pPr>
        <w:pStyle w:val="24"/>
        <w:tabs>
          <w:tab w:val="right" w:leader="dot" w:pos="8296"/>
        </w:tabs>
        <w:adjustRightInd w:val="0"/>
        <w:snapToGrid w:val="0"/>
        <w:spacing w:line="560" w:lineRule="exact"/>
        <w:jc w:val="left"/>
        <w:rPr>
          <w:rFonts w:eastAsia="仿宋_GB2312"/>
          <w:sz w:val="32"/>
          <w:szCs w:val="32"/>
        </w:rPr>
      </w:pPr>
      <w:bookmarkStart w:id="62" w:name="_Toc15396628"/>
      <w:r>
        <w:rPr>
          <w:rFonts w:eastAsia="仿宋_GB2312"/>
          <w:sz w:val="32"/>
          <w:szCs w:val="32"/>
        </w:rPr>
        <w:t>十、</w:t>
      </w:r>
      <w:bookmarkEnd w:id="62"/>
      <w:r>
        <w:rPr>
          <w:rFonts w:eastAsia="仿宋_GB2312"/>
          <w:sz w:val="32"/>
          <w:szCs w:val="32"/>
        </w:rPr>
        <w:t>政府性基金预算财政拨款收入支出决算表</w:t>
      </w:r>
    </w:p>
    <w:p>
      <w:pPr>
        <w:pStyle w:val="24"/>
        <w:tabs>
          <w:tab w:val="right" w:leader="dot" w:pos="8296"/>
        </w:tabs>
        <w:adjustRightInd w:val="0"/>
        <w:snapToGrid w:val="0"/>
        <w:spacing w:line="560" w:lineRule="exact"/>
        <w:jc w:val="left"/>
        <w:rPr>
          <w:rFonts w:eastAsia="仿宋_GB2312"/>
          <w:sz w:val="32"/>
          <w:szCs w:val="32"/>
        </w:rPr>
      </w:pPr>
      <w:bookmarkStart w:id="63" w:name="_Toc15396629"/>
      <w:r>
        <w:rPr>
          <w:rFonts w:eastAsia="仿宋_GB2312"/>
          <w:sz w:val="32"/>
          <w:szCs w:val="32"/>
        </w:rPr>
        <w:t>十一、</w:t>
      </w:r>
      <w:bookmarkEnd w:id="63"/>
      <w:r>
        <w:rPr>
          <w:rFonts w:eastAsia="仿宋_GB2312"/>
          <w:sz w:val="32"/>
          <w:szCs w:val="32"/>
        </w:rPr>
        <w:t>国有资本经营预算财政拨款收入支出决算表</w:t>
      </w:r>
    </w:p>
    <w:p>
      <w:pPr>
        <w:pStyle w:val="24"/>
        <w:tabs>
          <w:tab w:val="right" w:leader="dot" w:pos="8296"/>
        </w:tabs>
        <w:adjustRightInd w:val="0"/>
        <w:snapToGrid w:val="0"/>
        <w:spacing w:line="560" w:lineRule="exact"/>
        <w:jc w:val="left"/>
        <w:rPr>
          <w:rFonts w:eastAsia="仿宋_GB2312"/>
          <w:sz w:val="32"/>
          <w:szCs w:val="32"/>
        </w:rPr>
      </w:pPr>
      <w:bookmarkStart w:id="64" w:name="_Toc15396630"/>
      <w:r>
        <w:rPr>
          <w:rFonts w:eastAsia="仿宋_GB2312"/>
          <w:sz w:val="32"/>
          <w:szCs w:val="32"/>
        </w:rPr>
        <w:t>十二、</w:t>
      </w:r>
      <w:bookmarkEnd w:id="64"/>
      <w:r>
        <w:rPr>
          <w:rFonts w:eastAsia="仿宋_GB2312"/>
          <w:sz w:val="32"/>
          <w:szCs w:val="32"/>
        </w:rPr>
        <w:t>国有资本经营预算财政拨款支出决算表</w:t>
      </w:r>
    </w:p>
    <w:p>
      <w:pPr>
        <w:pStyle w:val="24"/>
        <w:tabs>
          <w:tab w:val="right" w:leader="dot" w:pos="8296"/>
        </w:tabs>
        <w:adjustRightInd w:val="0"/>
        <w:snapToGrid w:val="0"/>
        <w:spacing w:line="560" w:lineRule="exact"/>
        <w:jc w:val="left"/>
        <w:rPr>
          <w:rFonts w:eastAsia="仿宋_GB2312"/>
          <w:sz w:val="32"/>
          <w:szCs w:val="32"/>
        </w:rPr>
      </w:pPr>
      <w:bookmarkStart w:id="65" w:name="_Toc15396631"/>
      <w:r>
        <w:rPr>
          <w:rFonts w:eastAsia="仿宋_GB2312"/>
          <w:sz w:val="32"/>
          <w:szCs w:val="32"/>
        </w:rPr>
        <w:t>十三、</w:t>
      </w:r>
      <w:bookmarkEnd w:id="65"/>
      <w:r>
        <w:rPr>
          <w:rFonts w:eastAsia="仿宋_GB2312"/>
          <w:sz w:val="32"/>
          <w:szCs w:val="32"/>
        </w:rPr>
        <w:t>财政拨款“三公”经费支出决算表</w:t>
      </w:r>
    </w:p>
    <w:p/>
    <w:sectPr>
      <w:footerReference w:type="default" r:id="rId5"/>
      <w:pgSz w:w="11906" w:h="16838"/>
      <w:pgMar w:top="1440" w:right="1800" w:bottom="1440" w:left="1800" w:header="851" w:footer="992" w:gutter="0"/>
      <w:pgNumType w:start="1"/>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小标宋简体">
    <w:altName w:val="Arial Unicode MS"/>
    <w:panose1 w:val="00000000000000000000"/>
    <w:charset w:val="86"/>
    <w:family w:val="script"/>
    <w:pitch w:val="variable"/>
    <w:sig w:usb0="00000000" w:usb1="00000000" w:usb2="00000012" w:usb3="00000000" w:csb0="00040001" w:csb1="00000000"/>
  </w:font>
  <w:font w:name="方正小标宋_GBK">
    <w:altName w:val="Arial Unicode MS"/>
    <w:panose1 w:val="00000000000000000000"/>
    <w:charset w:val="86"/>
    <w:family w:val="auto"/>
    <w:pitch w:val="variable"/>
    <w:sig w:usb0="00000000" w:usb1="38CF7CFA" w:usb2="00082016" w:usb3="00000000" w:csb0="00040001" w:csb1="00000000"/>
  </w:font>
  <w:font w:name="黑体">
    <w:altName w:val="SimHei"/>
    <w:panose1 w:val="02010609060101010101"/>
    <w:charset w:val="86"/>
    <w:family w:val="modern"/>
    <w:pitch w:val="variable"/>
    <w:sig w:usb0="800002BF" w:usb1="38CF7CFA" w:usb2="00000016" w:usb3="00000000" w:csb0="00040001" w:csb1="00000000"/>
  </w:font>
  <w:font w:name="仿宋_GB2312">
    <w:panose1 w:val="02010609030101010101"/>
    <w:charset w:val="86"/>
    <w:family w:val="modern"/>
    <w:pitch w:val="variable"/>
    <w:sig w:usb0="00000001" w:usb1="080E0000" w:usb2="00000010" w:usb3="00000000" w:csb0="00040000" w:csb1="00000000"/>
  </w:font>
  <w:font w:name="方正仿宋_GBK">
    <w:altName w:val="Arial Unicode MS"/>
    <w:panose1 w:val="00000000000000000000"/>
    <w:charset w:val="86"/>
    <w:family w:val="auto"/>
    <w:pitch w:val="variable"/>
    <w:sig w:usb0="00000000" w:usb1="38CF7CFA" w:usb2="00082016" w:usb3="00000000" w:csb0="00040001" w:csb1="00000000"/>
  </w:font>
  <w:font w:name="楷体_GB2312">
    <w:altName w:val="楷体"/>
    <w:panose1 w:val="00000000000000000000"/>
    <w:charset w:val="86"/>
    <w:family w:val="auto"/>
    <w:pitch w:val="variable"/>
    <w:sig w:usb0="00000000" w:usb1="00000000" w:usb2="00000000" w:usb3="00000000" w:csb0="00040000" w:csb1="00000000"/>
  </w:font>
  <w:font w:name="仿宋">
    <w:panose1 w:val="02010609060101010101"/>
    <w:charset w:val="86"/>
    <w:family w:val="modern"/>
    <w:pitch w:val="variable"/>
    <w:sig w:usb0="800002BF" w:usb1="38CF7CFA" w:usb2="00000016" w:usb3="00000000" w:csb0="00040001" w:csb1="00000000"/>
  </w:font>
  <w:font w:name="宋体">
    <w:altName w:val="方正兰亭黑_GBK"/>
    <w:panose1 w:val="02010600030101010101"/>
    <w:charset w:val="86"/>
    <w:family w:val="auto"/>
    <w:pitch w:val="variable"/>
    <w:sig w:usb0="00000003" w:usb1="288F0000" w:usb2="00000016" w:usb3="00000000" w:csb0="00040001" w:csb1="00000000"/>
  </w:font>
  <w:font w:name="Cambria">
    <w:altName w:val="DejaVu Sans"/>
    <w:panose1 w:val="02040503050406030204"/>
    <w:charset w:val="00"/>
    <w:family w:val="roman"/>
    <w:pitch w:val="variable"/>
    <w:sig w:usb0="E00002FF" w:usb1="400004FF" w:usb2="00000000" w:usb3="00000000" w:csb0="0000019F" w:csb1="00000000"/>
  </w:font>
  <w:font w:name="Calibri">
    <w:altName w:val="Times New Roman"/>
    <w:panose1 w:val="020F0502020204030204"/>
    <w:charset w:val="00"/>
    <w:family w:val="swiss"/>
    <w:pitch w:val="variable"/>
    <w:sig w:usb0="E00002FF" w:usb1="4000ACFF" w:usb2="00000001" w:usb3="00000000" w:csb0="0000019F" w:csb1="00000000"/>
  </w:font>
  <w:font w:name="Arial">
    <w:altName w:val="DejaVu Sans"/>
    <w:panose1 w:val="020B0604020202020204"/>
    <w:charset w:val="00"/>
    <w:family w:val="swiss"/>
    <w:pitch w:val="variable"/>
    <w:sig w:usb0="E0002AFF" w:usb1="C0007843" w:usb2="00000009" w:usb3="00000000" w:csb0="000001FF" w:csb1="00000000"/>
  </w:font>
  <w:font w:name="??">
    <w:altName w:val="仿宋"/>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jc w:val="center"/>
    </w:pPr>
  </w:p>
  <w:p>
    <w:pPr>
      <w:pStyle w:val="20"/>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pPr>
    <w:r>
      <mc:AlternateContent>
        <mc:Choice Requires="wps">
          <w:drawing>
            <wp:anchor distT="0" distB="0" distL="114297" distR="114297" simplePos="0" relativeHeight="34" behindDoc="0" locked="0" layoutInCell="1" hidden="0" allowOverlap="1">
              <wp:simplePos x="0" y="0"/>
              <wp:positionH relativeFrom="margin">
                <wp:align>center</wp:align>
              </wp:positionH>
              <wp:positionV relativeFrom="paragraph">
                <wp:posOffset>0</wp:posOffset>
              </wp:positionV>
              <wp:extent cx="227914" cy="133159"/>
              <wp:effectExtent l="0" t="0" r="0" b="0"/>
              <wp:wrapNone/>
              <wp:docPr id="1" name="文本框 2 3"/>
              <wp:cNvGraphicFramePr>
                <a:graphicFrameLocks noChangeAspect="0"/>
              </wp:cNvGraphicFramePr>
              <a:graphic>
                <a:graphicData uri="http://schemas.microsoft.com/office/word/2010/wordprocessingShape">
                  <wps:wsp>
                    <wps:cNvSpPr/>
                    <wps:spPr>
                      <a:xfrm rot="0">
                        <a:off x="0" y="0"/>
                        <a:ext cx="227914" cy="133159"/>
                      </a:xfrm>
                      <a:prstGeom prst="rect"/>
                      <a:noFill/>
                      <a:ln w="9525" cmpd="sng" cap="flat">
                        <a:noFill/>
                        <a:prstDash val="solid"/>
                        <a:miter/>
                      </a:ln>
                    </wps:spPr>
                    <wps:txbx id="2">
                      <w:txbxContent>
                        <w:p>
                          <w:pPr>
                            <w:pStyle w:val="20"/>
                            <w:tabs>
                              <w:tab w:val="center" w:pos="4153"/>
                              <w:tab w:val="right" w:pos="8306"/>
                            </w:tabs>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1">
                      <a:spAutoFit/>
                    </wps:bodyPr>
                  </wps:wsp>
                </a:graphicData>
              </a:graphic>
            </wp:anchor>
          </w:drawing>
        </mc:Choice>
        <mc:Fallback>
          <w:pict>
            <v:shape type="#_x0000_t202" id="文本框 2 3 3" o:spid="_x0000_s3" filled="f" stroked="f" style="position:absolute;margin-left:0.0pt;margin-top:0.0pt;width:17.946pt;height:10.485001pt;z-index:34;mso-position-horizontal:center;mso-position-horizontal-relative:margin;mso-position-vertical:absolute;mso-wrap-distance-left:8.99983pt;mso-wrap-distance-right:8.99983pt;mso-wrap-style:none;">
              <v:stroke color="#000000"/>
              <v:textbox id="855" inset="0mm,0mm,0mm,0mm" o:insetmode="custom" style="layout-flow:horizontal;v-text-anchor:top;mso-fit-shape-to-text:t;">
                <w:txbxContent>
                  <w:p>
                    <w:pPr>
                      <w:pStyle w:val="20"/>
                      <w:tabs>
                        <w:tab w:val="center" w:pos="4153"/>
                        <w:tab w:val="right" w:pos="8306"/>
                      </w:tabs>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0"/>
      <w:tabs>
        <w:tab w:val="center" w:pos="4153"/>
        <w:tab w:val="right" w:pos="8306"/>
      </w:tabs>
      <w:jc w:val="center"/>
    </w:pPr>
  </w:p>
  <w:p>
    <w:pPr>
      <w:pStyle w:val="20"/>
      <w:tabs>
        <w:tab w:val="center" w:pos="4153"/>
        <w:tab w:val="right" w:pos="8306"/>
      </w:tabs>
    </w:pPr>
    <w:r>
      <mc:AlternateContent>
        <mc:Choice Requires="wps">
          <w:drawing>
            <wp:anchor distT="0" distB="0" distL="114297" distR="114297" simplePos="0" relativeHeight="36" behindDoc="0" locked="0" layoutInCell="1" hidden="0" allowOverlap="1">
              <wp:simplePos x="0" y="0"/>
              <wp:positionH relativeFrom="margin">
                <wp:posOffset>2545715</wp:posOffset>
              </wp:positionH>
              <wp:positionV relativeFrom="paragraph">
                <wp:posOffset>176529</wp:posOffset>
              </wp:positionV>
              <wp:extent cx="114300" cy="131559"/>
              <wp:effectExtent l="0" t="0" r="0" b="0"/>
              <wp:wrapNone/>
              <wp:docPr id="4" name="文本框 8 6"/>
              <wp:cNvGraphicFramePr>
                <a:graphicFrameLocks noChangeAspect="0"/>
              </wp:cNvGraphicFramePr>
              <a:graphic>
                <a:graphicData uri="http://schemas.microsoft.com/office/word/2010/wordprocessingShape">
                  <wps:wsp>
                    <wps:cNvSpPr/>
                    <wps:spPr>
                      <a:xfrm rot="0">
                        <a:off x="0" y="0"/>
                        <a:ext cx="114300" cy="131559"/>
                      </a:xfrm>
                      <a:prstGeom prst="rect"/>
                      <a:noFill/>
                      <a:ln w="9525" cmpd="sng" cap="flat">
                        <a:noFill/>
                        <a:prstDash val="solid"/>
                        <a:miter/>
                      </a:ln>
                    </wps:spPr>
                    <wps:txbx id="5">
                      <w:txbxContent>
                        <w:p>
                          <w:pPr>
                            <w:pStyle w:val="20"/>
                            <w:tabs>
                              <w:tab w:val="center" w:pos="4153"/>
                              <w:tab w:val="right" w:pos="8306"/>
                            </w:tabs>
                          </w:pPr>
                          <w:r>
                            <w:fldChar w:fldCharType="begin"/>
                          </w:r>
                          <w:r>
                            <w:instrText xml:space="preserve"> PAGE  \* MERGEFORMAT </w:instrText>
                          </w:r>
                          <w:r>
                            <w:fldChar w:fldCharType="separate"/>
                          </w:r>
                          <w:r>
                            <w:t>11</w:t>
                          </w:r>
                          <w:r>
                            <w:fldChar w:fldCharType="end"/>
                          </w:r>
                        </w:p>
                      </w:txbxContent>
                    </wps:txbx>
                    <wps:bodyPr vert="horz" wrap="none" lIns="0" tIns="0" rIns="0" bIns="0" anchor="t" anchorCtr="0" upright="1">
                      <a:spAutoFit/>
                    </wps:bodyPr>
                  </wps:wsp>
                </a:graphicData>
              </a:graphic>
            </wp:anchor>
          </w:drawing>
        </mc:Choice>
        <mc:Fallback>
          <w:pict>
            <v:shape type="#_x0000_t202" id="文本框 8 6 6" o:spid="_x0000_s6" filled="f" stroked="f" style="position:absolute;margin-left:200.44998pt;margin-top:13.899965pt;width:9.0pt;height:10.359035pt;z-index:36;mso-position-horizontal:absolute;mso-position-horizontal-relative:margin;mso-position-vertical:absolute;mso-wrap-distance-left:8.99983pt;mso-wrap-distance-right:8.99983pt;mso-wrap-style:none;">
              <v:stroke color="#000000"/>
              <v:textbox id="856" inset="0mm,0mm,0mm,0mm" o:insetmode="custom" style="layout-flow:horizontal;v-text-anchor:top;mso-fit-shape-to-text:t;">
                <w:txbxContent>
                  <w:p>
                    <w:pPr>
                      <w:pStyle w:val="20"/>
                      <w:tabs>
                        <w:tab w:val="center" w:pos="4153"/>
                        <w:tab w:val="right" w:pos="8306"/>
                      </w:tabs>
                    </w:pPr>
                    <w:r>
                      <w:fldChar w:fldCharType="begin"/>
                    </w:r>
                    <w:r>
                      <w:instrText xml:space="preserve"> PAGE  \* MERGEFORMAT </w:instrText>
                    </w:r>
                    <w:r>
                      <w:fldChar w:fldCharType="separate"/>
                    </w:r>
                    <w:r>
                      <w:t>11</w:t>
                    </w:r>
                    <w:r>
                      <w:fldChar w:fldCharType="end"/>
                    </w:r>
                  </w:p>
                </w:txbxContent>
              </v:textbox>
            </v:shape>
          </w:pict>
        </mc:Fallback>
      </mc:AlternateContent>
    </w: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pBdr>
        <w:bottom w:val="none" w:sz="0" w:space="0" w:color="auto"/>
      </w:pBdr>
      <w:tabs>
        <w:tab w:val="center" w:pos="4153"/>
        <w:tab w:val="right" w:pos="8306"/>
      </w:tabs>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5"/>
  <w:bordersDoNotSurroundHeader/>
  <w:bordersDoNotSurroundFooter/>
  <w:documentProtection w:edit="readOnly" w:enforcement="0"/>
  <w:defaultTabStop w:val="419"/>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doNotUseIndentAsNumberingTabStop/>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beforeLines="30" w:before="30"/>
    </w:pPr>
    <w:rPr>
      <w:rFonts w:ascii="仿宋_GB2312" w:eastAsia="仿宋_GB2312"/>
      <w:kern w:val="0"/>
      <w:sz w:val="30"/>
    </w:rPr>
  </w:style>
  <w:style w:type="paragraph" w:styleId="16">
    <w:name w:val="Body Text Indent"/>
    <w:basedOn w:val="0"/>
    <w:next w:val="17"/>
    <w:pPr>
      <w:spacing w:after="120"/>
      <w:ind w:leftChars="200" w:left="200"/>
    </w:pPr>
    <w:rPr>
      <w:rFonts w:ascii="仿宋_GB2312" w:hAnsi="仿宋_GB2312"/>
      <w:szCs w:val="32"/>
    </w:rPr>
  </w:style>
  <w:style w:type="paragraph" w:styleId="17">
    <w:name w:val="Body Text First Indent 2"/>
    <w:basedOn w:val="16"/>
    <w:pPr>
      <w:ind w:firstLineChars="200" w:firstLine="200"/>
    </w:pPr>
  </w:style>
  <w:style w:type="paragraph" w:styleId="18">
    <w:name w:val="toc 3"/>
    <w:basedOn w:val="0"/>
    <w:next w:val="0"/>
    <w:pPr>
      <w:tabs>
        <w:tab w:val="right" w:leader="dot" w:pos="8296"/>
      </w:tabs>
      <w:ind w:leftChars="400" w:left="400"/>
    </w:pPr>
  </w:style>
  <w:style w:type="paragraph" w:styleId="19">
    <w:name w:val="Balloon Text"/>
    <w:basedOn w:val="0"/>
    <w:rPr>
      <w:sz w:val="18"/>
      <w:szCs w:val="18"/>
    </w:rPr>
  </w:style>
  <w:style w:type="paragraph" w:styleId="20">
    <w:name w:val="footer"/>
    <w:basedOn w:val="0"/>
    <w:pPr>
      <w:tabs>
        <w:tab w:val="center" w:pos="4153"/>
        <w:tab w:val="right" w:pos="8306"/>
      </w:tabs>
      <w:snapToGrid w:val="0"/>
      <w:jc w:val="left"/>
    </w:pPr>
    <w:rPr>
      <w:rFonts w:ascii="Calibri" w:hAnsi="Calibri"/>
      <w:kern w:val="0"/>
      <w:sz w:val="18"/>
      <w:szCs w:val="18"/>
    </w:rPr>
  </w:style>
  <w:style w:type="paragraph" w:styleId="21">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2">
    <w:name w:val="toc 1"/>
    <w:basedOn w:val="0"/>
    <w:next w:val="0"/>
    <w:pPr>
      <w:tabs>
        <w:tab w:val="right" w:leader="dot" w:pos="8296"/>
      </w:tabs>
      <w:spacing w:before="93"/>
      <w:jc w:val="center"/>
    </w:pPr>
    <w:rPr>
      <w:rFonts w:ascii="仿宋" w:eastAsia="仿宋"/>
      <w:sz w:val="28"/>
      <w:szCs w:val="28"/>
    </w:rPr>
  </w:style>
  <w:style w:type="paragraph" w:styleId="23">
    <w:name w:val="footnote text"/>
    <w:basedOn w:val="0"/>
    <w:next w:val="17"/>
    <w:pPr>
      <w:snapToGrid w:val="0"/>
      <w:jc w:val="left"/>
    </w:pPr>
    <w:rPr>
      <w:sz w:val="18"/>
      <w:szCs w:val="18"/>
    </w:rPr>
  </w:style>
  <w:style w:type="paragraph" w:styleId="24">
    <w:name w:val="toc 2"/>
    <w:basedOn w:val="0"/>
    <w:next w:val="0"/>
    <w:pPr>
      <w:tabs>
        <w:tab w:val="right" w:leader="dot" w:pos="8296"/>
      </w:tabs>
      <w:ind w:leftChars="200" w:left="200"/>
    </w:pPr>
  </w:style>
  <w:style w:type="character" w:styleId="25">
    <w:name w:val="Strong"/>
    <w:basedOn w:val="10"/>
    <w:rPr>
      <w:b/>
    </w:rPr>
  </w:style>
  <w:style w:type="character" w:styleId="26">
    <w:name w:val="Hyperlink"/>
    <w:basedOn w:val="10"/>
    <w:rPr>
      <w:color w:val="0000FF"/>
      <w:u w:val="single"/>
    </w:rPr>
  </w:style>
  <w:style w:type="paragraph" w:customStyle="1" w:styleId="27">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character" w:customStyle="1" w:styleId="28">
    <w:name w:val="Header Char"/>
    <w:basedOn w:val="10"/>
    <w:rPr>
      <w:rFonts w:ascii="Times New Roman" w:hAnsi="Times New Roman"/>
      <w:sz w:val="18"/>
      <w:szCs w:val="18"/>
    </w:rPr>
  </w:style>
  <w:style w:type="character" w:customStyle="1" w:styleId="29">
    <w:name w:val="Footer Char"/>
    <w:basedOn w:val="10"/>
    <w:rPr>
      <w:rFonts w:ascii="Times New Roman" w:hAnsi="Times New Roman"/>
      <w:sz w:val="18"/>
      <w:szCs w:val="18"/>
    </w:rPr>
  </w:style>
  <w:style w:type="character" w:customStyle="1" w:styleId="30">
    <w:name w:val="Body Text Char"/>
    <w:basedOn w:val="10"/>
    <w:rPr>
      <w:rFonts w:ascii="Times New Roman" w:hAnsi="Times New Roman"/>
      <w:szCs w:val="24"/>
    </w:rPr>
  </w:style>
  <w:style w:type="paragraph" w:customStyle="1" w:styleId="31">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2">
    <w:name w:val="List Paragraph"/>
    <w:basedOn w:val="0"/>
    <w:pPr>
      <w:ind w:firstLineChars="200" w:firstLine="200"/>
    </w:pPr>
  </w:style>
  <w:style w:type="paragraph" w:customStyle="1" w:styleId="33">
    <w:name w:val="TOC 标题1"/>
    <w:basedOn w:val="1"/>
    <w:next w:val="0"/>
    <w:pPr>
      <w:keepNext/>
      <w:keepLines/>
      <w:widowControl/>
      <w:spacing w:before="480" w:after="0" w:line="276" w:lineRule="auto"/>
      <w:jc w:val="left"/>
      <w:outlineLvl w:val="9"/>
    </w:pPr>
    <w:rPr>
      <w:rFonts w:ascii="Cambria" w:hAnsi="Cambria"/>
      <w:color w:val="376092"/>
      <w:kern w:val="0"/>
      <w:sz w:val="28"/>
      <w:szCs w:val="28"/>
    </w:rPr>
  </w:style>
  <w:style w:type="paragraph" w:customStyle="1" w:styleId="34">
    <w:name w:val="TOC 标题2"/>
    <w:basedOn w:val="1"/>
    <w:next w:val="0"/>
    <w:pPr>
      <w:keepNext/>
      <w:keepLines/>
      <w:widowControl/>
      <w:spacing w:before="480" w:after="0" w:line="276" w:lineRule="auto"/>
      <w:jc w:val="left"/>
      <w:outlineLvl w:val="9"/>
    </w:pPr>
    <w:rPr>
      <w:rFonts w:ascii="Cambria" w:hAnsi="Cambria"/>
      <w:color w:val="376092"/>
      <w:kern w:val="0"/>
      <w:sz w:val="28"/>
      <w:szCs w:val="28"/>
    </w:rPr>
  </w:style>
  <w:style w:type="paragraph" w:customStyle="1" w:styleId="35">
    <w:name w:val="四号正文"/>
    <w:basedOn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image" Target="media/8.png"/><Relationship Id="rId7" Type="http://schemas.openxmlformats.org/officeDocument/2006/relationships/image" Target="media/11.png"/><Relationship Id="rId8" Type="http://schemas.openxmlformats.org/officeDocument/2006/relationships/image" Target="media/14.png"/><Relationship Id="rId9" Type="http://schemas.openxmlformats.org/officeDocument/2006/relationships/image" Target="media/8.png"/><Relationship Id="rId10" Type="http://schemas.openxmlformats.org/officeDocument/2006/relationships/image" Target="media/19.png"/><Relationship Id="rId11" Type="http://schemas.openxmlformats.org/officeDocument/2006/relationships/image" Target="media/22.png"/><Relationship Id="rId12" Type="http://schemas.openxmlformats.org/officeDocument/2006/relationships/image" Target="media/25.png"/><Relationship Id="rId13" Type="http://schemas.openxmlformats.org/officeDocument/2006/relationships/styles" Target="styles.xml"/><Relationship Id="rId14" Type="http://schemas.openxmlformats.org/officeDocument/2006/relationships/fontTable" Target="fontTable.xml"/></Relationships>
</file>

<file path=docProps/app.xml><?xml version="1.0" encoding="utf-8"?>
<Properties xmlns="http://schemas.openxmlformats.org/officeDocument/2006/extended-properties">
  <Template>Normal.eit</Template>
  <TotalTime>501</TotalTime>
  <Application>Yozo_Office27021597764231179</Application>
  <Pages>19</Pages>
  <Words>5128</Words>
  <Characters>5614</Characters>
  <Lines>322</Lines>
  <Paragraphs>140</Paragraphs>
  <CharactersWithSpaces>5651</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72</cp:revision>
  <cp:lastPrinted>2025-08-09T01:34:00Z</cp:lastPrinted>
  <dcterms:created xsi:type="dcterms:W3CDTF">2020-08-11T17:49:00Z</dcterms:created>
  <dcterms:modified xsi:type="dcterms:W3CDTF">2026-09-11T03:16:40Z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2052-11.1.0.11719</vt:lpwstr>
  </property>
  <property fmtid="{D5CDD505-2E9C-101B-9397-08002B2CF9AE}" pid="3" name="ICV">
    <vt:lpwstr>04787F2533EB45DC91BCDE4AB213247F</vt:lpwstr>
  </property>
</Properties>
</file>