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78441"/>
      <w:bookmarkStart w:id="2" w:name="_Toc15396475"/>
      <w:bookmarkStart w:id="3" w:name="_Toc15306267"/>
      <w:bookmarkStart w:id="4" w:name="_Toc15396597"/>
      <w:bookmarkStart w:id="5" w:name="_Toc15377425"/>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方正小标宋_GBK" w:hAnsi="方正小标宋_GBK" w:eastAsia="方正小标宋_GBK" w:cs="方正小标宋_GBK"/>
          <w:color w:val="auto"/>
          <w:kern w:val="2"/>
          <w:sz w:val="72"/>
          <w:szCs w:val="72"/>
          <w:highlight w:val="none"/>
          <w:lang w:val="en-US" w:eastAsia="zh-CN" w:bidi="ar-SA"/>
        </w:rPr>
      </w:pPr>
      <w:r>
        <w:rPr>
          <w:rFonts w:hint="eastAsia" w:ascii="方正小标宋_GBK" w:hAnsi="方正小标宋_GBK" w:eastAsia="方正小标宋_GBK" w:cs="方正小标宋_GBK"/>
          <w:color w:val="auto"/>
          <w:kern w:val="2"/>
          <w:sz w:val="72"/>
          <w:szCs w:val="72"/>
          <w:highlight w:val="none"/>
          <w:lang w:val="en-US" w:eastAsia="zh-CN" w:bidi="ar-SA"/>
        </w:rPr>
        <w:t>2024年度</w:t>
      </w:r>
    </w:p>
    <w:p>
      <w:pPr>
        <w:pStyle w:val="2"/>
        <w:jc w:val="center"/>
        <w:rPr>
          <w:rFonts w:hint="eastAsia" w:ascii="方正小标宋_GBK" w:hAnsi="方正小标宋_GBK" w:eastAsia="方正小标宋_GBK" w:cs="方正小标宋_GBK"/>
          <w:color w:val="auto"/>
          <w:kern w:val="2"/>
          <w:sz w:val="72"/>
          <w:szCs w:val="72"/>
          <w:highlight w:val="none"/>
          <w:lang w:val="en-US" w:eastAsia="zh-CN" w:bidi="ar-SA"/>
        </w:rPr>
      </w:pPr>
      <w:r>
        <w:rPr>
          <w:rFonts w:hint="eastAsia" w:ascii="方正小标宋_GBK" w:hAnsi="方正小标宋_GBK" w:eastAsia="方正小标宋_GBK" w:cs="方正小标宋_GBK"/>
          <w:color w:val="auto"/>
          <w:kern w:val="2"/>
          <w:sz w:val="72"/>
          <w:szCs w:val="72"/>
          <w:highlight w:val="none"/>
          <w:lang w:val="en-US" w:eastAsia="zh-CN" w:bidi="ar-SA"/>
        </w:rPr>
        <w:t>攀枝花市档案馆单位决算</w:t>
      </w: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16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pPr>
        <w:pStyle w:val="12"/>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pPr>
        <w:pStyle w:val="12"/>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w:t>
      </w:r>
    </w:p>
    <w:p>
      <w:pPr>
        <w:pStyle w:val="12"/>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pPr>
        <w:pStyle w:val="12"/>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ins w:id="0" w:author="user" w:date="2025-09-15T11:40:16Z">
        <w:r>
          <w:rPr>
            <w:rFonts w:hint="eastAsia" w:ascii="Times New Roman" w:hAnsi="Times New Roman" w:eastAsia="黑体" w:cs="黑体"/>
            <w:color w:val="auto"/>
            <w:sz w:val="32"/>
            <w:szCs w:val="32"/>
            <w:highlight w:val="none"/>
            <w:lang w:val="en-US" w:eastAsia="zh-CN"/>
          </w:rPr>
          <w:t>16</w:t>
        </w:r>
      </w:ins>
      <w:del w:id="1" w:author="user" w:date="2025-09-15T11:40:15Z">
        <w:bookmarkStart w:id="66" w:name="_GoBack"/>
        <w:bookmarkEnd w:id="66"/>
        <w:r>
          <w:rPr>
            <w:rFonts w:hint="eastAsia" w:ascii="Times New Roman" w:hAnsi="Times New Roman" w:eastAsia="黑体" w:cs="黑体"/>
            <w:color w:val="auto"/>
            <w:sz w:val="32"/>
            <w:szCs w:val="32"/>
            <w:highlight w:val="none"/>
            <w:lang w:val="en-US" w:eastAsia="zh-CN"/>
          </w:rPr>
          <w:delText>22</w:delText>
        </w:r>
      </w:del>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pStyle w:val="3"/>
        <w:jc w:val="center"/>
        <w:rPr>
          <w:rFonts w:hint="eastAsia" w:ascii="Times New Roman" w:hAnsi="Times New Roman" w:eastAsia="方正小标宋简体" w:cs="方正小标宋简体"/>
          <w:b w:val="0"/>
          <w:color w:val="auto"/>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6" w:name="_Toc15396599"/>
      <w:bookmarkStart w:id="7" w:name="_Toc15377196"/>
    </w:p>
    <w:p>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pPr>
        <w:pStyle w:val="4"/>
        <w:numPr>
          <w:ilvl w:val="0"/>
          <w:numId w:val="1"/>
        </w:numPr>
        <w:rPr>
          <w:rFonts w:hint="default" w:ascii="Times New Roman" w:hAnsi="Times New Roman" w:eastAsia="方正仿宋_GBK"/>
          <w:color w:val="auto"/>
          <w:sz w:val="33"/>
          <w:szCs w:val="33"/>
          <w:lang w:eastAsia="zh-CN"/>
        </w:rPr>
      </w:pPr>
      <w:r>
        <w:rPr>
          <w:rFonts w:hint="eastAsia" w:ascii="Times New Roman" w:hAnsi="Times New Roman" w:eastAsia="黑体"/>
          <w:b w:val="0"/>
          <w:color w:val="auto"/>
          <w:highlight w:val="none"/>
          <w:lang w:eastAsia="zh-CN"/>
        </w:rPr>
        <w:t>单位职责</w:t>
      </w:r>
    </w:p>
    <w:p>
      <w:pPr>
        <w:pStyle w:val="4"/>
        <w:numPr>
          <w:ilvl w:val="0"/>
          <w:numId w:val="0"/>
        </w:numPr>
        <w:rPr>
          <w:rFonts w:hint="eastAsia" w:ascii="仿宋_GB2312" w:hAnsi="仿宋_GB2312" w:eastAsia="仿宋_GB2312" w:cs="仿宋_GB2312"/>
          <w:lang w:eastAsia="zh-CN"/>
        </w:rPr>
      </w:pPr>
      <w:r>
        <w:rPr>
          <w:rFonts w:hint="eastAsia" w:ascii="Times New Roman" w:hAnsi="Times New Roman" w:eastAsia="黑体"/>
          <w:b w:val="0"/>
          <w:color w:val="auto"/>
          <w:highlight w:val="none"/>
          <w:lang w:val="en-US" w:eastAsia="zh-CN"/>
        </w:rPr>
        <w:t xml:space="preserve">   </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rPr>
        <w:t>根据事业单位法人证书宗旨和业务范围的登记，攀枝花市档案馆（以下简称市档案馆）的职能有：收集保存提供利用档案资料，促进社会经济文化科学发展。（档案、资料）收集、整理、保管、鉴定；档案资料信息资源的开发利用；档案资料网络系统（设计、施工、维护、管理）；档案资料数字化处理；档案学研究；档案资料编纂；知识培训与社会教育。</w:t>
      </w:r>
    </w:p>
    <w:p>
      <w:pPr>
        <w:pStyle w:val="4"/>
        <w:rPr>
          <w:rStyle w:val="29"/>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pPr>
        <w:pageBreakBefore w:val="0"/>
        <w:widowControl w:val="0"/>
        <w:suppressAutoHyphens/>
        <w:kinsoku/>
        <w:wordWrap/>
        <w:overflowPunct/>
        <w:topLinePunct w:val="0"/>
        <w:bidi w:val="0"/>
        <w:spacing w:line="576" w:lineRule="exact"/>
        <w:ind w:left="0"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市档案馆为1个一级预算单位（参照公务员法管理的事业单位）。下属二级单位0个，其中行政单位0个，参照公务员法管理的事业单位0个，其他事业单位0个。</w:t>
      </w:r>
    </w:p>
    <w:p>
      <w:pPr>
        <w:pageBreakBefore w:val="0"/>
        <w:widowControl w:val="0"/>
        <w:suppressAutoHyphens/>
        <w:kinsoku/>
        <w:wordWrap/>
        <w:overflowPunct/>
        <w:topLinePunct w:val="0"/>
        <w:bidi w:val="0"/>
        <w:spacing w:line="576" w:lineRule="exact"/>
        <w:ind w:left="0" w:firstLine="640" w:firstLineChars="200"/>
        <w:textAlignment w:val="auto"/>
        <w:rPr>
          <w:rFonts w:hint="eastAsia" w:ascii="Times New Roman" w:hAnsi="Times New Roman" w:eastAsia="方正小标宋简体" w:cs="方正小标宋简体"/>
          <w:b w:val="0"/>
          <w:color w:val="auto"/>
          <w:highlight w:val="none"/>
        </w:rPr>
      </w:pPr>
      <w:bookmarkStart w:id="10" w:name="_Toc15377432"/>
      <w:bookmarkStart w:id="11" w:name="_Toc15377201"/>
      <w:bookmarkStart w:id="12" w:name="_Toc15378448"/>
      <w:bookmarkStart w:id="13" w:name="_Toc15306275"/>
      <w:r>
        <w:rPr>
          <w:rFonts w:hint="eastAsia" w:ascii="仿宋_GB2312" w:hAnsi="仿宋_GB2312" w:eastAsia="仿宋_GB2312" w:cs="仿宋_GB2312"/>
          <w:b w:val="0"/>
          <w:bCs/>
          <w:color w:val="auto"/>
          <w:kern w:val="2"/>
          <w:sz w:val="32"/>
          <w:szCs w:val="32"/>
          <w:lang w:val="en-US" w:eastAsia="zh-CN" w:bidi="ar-SA"/>
        </w:rPr>
        <w:t>纳入2024年度单位决算编制范围的二级预算单位0个。</w:t>
      </w:r>
      <w:bookmarkEnd w:id="10"/>
      <w:bookmarkEnd w:id="11"/>
      <w:bookmarkEnd w:id="12"/>
      <w:bookmarkEnd w:id="13"/>
      <w:bookmarkStart w:id="14" w:name="_Toc15396602"/>
      <w:bookmarkStart w:id="15" w:name="_Toc15377204"/>
    </w:p>
    <w:p>
      <w:pPr>
        <w:pStyle w:val="3"/>
        <w:jc w:val="both"/>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pStyle w:val="2"/>
        <w:rPr>
          <w:rFonts w:hint="eastAsia"/>
        </w:rPr>
      </w:pPr>
    </w:p>
    <w:p>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4"/>
      <w:bookmarkEnd w:id="15"/>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77205"/>
      <w:bookmarkStart w:id="17"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w:t>
      </w:r>
      <w:bookmarkEnd w:id="16"/>
      <w:bookmarkEnd w:id="17"/>
      <w:r>
        <w:rPr>
          <w:rStyle w:val="29"/>
          <w:rFonts w:hint="eastAsia" w:ascii="Times New Roman" w:hAnsi="Times New Roman" w:eastAsia="黑体"/>
          <w:b w:val="0"/>
          <w:color w:val="auto"/>
          <w:highlight w:val="none"/>
        </w:rPr>
        <w:t>体情况说明</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816.29</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178.02</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17.9</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lang w:val="en-US" w:eastAsia="zh-CN"/>
        </w:rPr>
        <w:t>较2023年度没有四川省档案事业发展专项资金的支出和</w:t>
      </w:r>
      <w:r>
        <w:rPr>
          <w:rFonts w:hint="default" w:ascii="Times New Roman" w:hAnsi="Times New Roman" w:eastAsia="方正仿宋_GBK"/>
          <w:color w:val="auto"/>
          <w:sz w:val="33"/>
          <w:szCs w:val="33"/>
          <w:lang w:val="en-US" w:eastAsia="zh-CN"/>
        </w:rPr>
        <w:t>清偿以前年度欠款</w:t>
      </w:r>
      <w:r>
        <w:rPr>
          <w:rFonts w:hint="eastAsia" w:ascii="Times New Roman" w:hAnsi="Times New Roman" w:eastAsia="方正仿宋_GBK"/>
          <w:color w:val="auto"/>
          <w:sz w:val="33"/>
          <w:szCs w:val="33"/>
          <w:lang w:val="en-US" w:eastAsia="zh-CN"/>
        </w:rPr>
        <w:t>支出减少</w:t>
      </w:r>
      <w:r>
        <w:rPr>
          <w:rFonts w:hint="eastAsia" w:ascii="仿宋_GB2312" w:hAnsi="仿宋_GB2312" w:eastAsia="仿宋_GB2312" w:cs="仿宋_GB2312"/>
          <w:color w:val="auto"/>
          <w:sz w:val="32"/>
          <w:szCs w:val="32"/>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textAlignment w:val="auto"/>
        <w:outlineLvl w:val="1"/>
        <w:rPr>
          <w:rFonts w:hint="eastAsia" w:ascii="仿宋_GB2312" w:hAnsi="仿宋_GB2312" w:eastAsia="仿宋_GB2312" w:cs="仿宋_GB2312"/>
          <w:color w:val="auto"/>
          <w:sz w:val="32"/>
          <w:szCs w:val="32"/>
          <w:lang w:val="en-US" w:eastAsia="zh-CN"/>
        </w:rPr>
      </w:pPr>
      <w:r>
        <w:rPr>
          <w:rFonts w:ascii="Times New Roman" w:hAnsi="Times New Roman" w:eastAsia="方正仿宋_GBK"/>
          <w:color w:val="auto"/>
          <w:sz w:val="33"/>
          <w:szCs w:val="33"/>
        </w:rPr>
        <w:pict>
          <v:shape id="Object 8" o:spid="_x0000_s1026" o:spt="75" alt="0.png" type="#_x0000_t75" style="position:absolute;left:0pt;margin-left:30.75pt;margin-top:10.55pt;height:177.05pt;width:344.3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v:imagedata r:id="rId9" cropleft="566f" croptop="799f" cropbottom="1864f" o:title="oleetimg_1757063962963462_642519424"/>
            <o:lock v:ext="edit" aspectratio="f"/>
            <w10:wrap type="tight"/>
          </v:shape>
          <o:OLEObject Type="Embed" ProgID="Excel.Sheet.8" ShapeID="Object 8" DrawAspect="Content" ObjectID="_1468075725" r:id="rId8">
            <o:LockedField>false</o:LockedField>
          </o:OLEObject>
        </w:pic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lang w:val="en-US"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bookmarkStart w:id="18" w:name="_Toc15377206"/>
      <w:bookmarkStart w:id="19" w:name="_Toc15396604"/>
      <w:r>
        <w:rPr>
          <w:rFonts w:hint="eastAsia" w:ascii="Times New Roman" w:hAnsi="Times New Roman" w:eastAsia="黑体"/>
          <w:color w:val="auto"/>
          <w:sz w:val="32"/>
          <w:szCs w:val="32"/>
          <w:highlight w:val="none"/>
          <w:lang w:eastAsia="zh-CN"/>
        </w:rPr>
        <w:t>二、收入决算情况说明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816.29万元，其中：一般公共预算财政拨款收入806.29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98.77</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1.22%</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264795</wp:posOffset>
            </wp:positionH>
            <wp:positionV relativeFrom="paragraph">
              <wp:posOffset>99060</wp:posOffset>
            </wp:positionV>
            <wp:extent cx="4537075" cy="3038475"/>
            <wp:effectExtent l="4445" t="4445" r="11430" b="508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ind w:firstLine="800" w:firstLineChars="250"/>
        <w:rPr>
          <w:rFonts w:hint="eastAsia" w:ascii="Times New Roman" w:hAnsi="Times New Roman" w:eastAsia="仿宋_GB2312" w:cs="仿宋_GB2312"/>
          <w:color w:val="auto"/>
          <w:sz w:val="32"/>
          <w:szCs w:val="32"/>
          <w:highlight w:val="none"/>
          <w:lang w:eastAsia="zh-CN"/>
        </w:rPr>
      </w:pPr>
    </w:p>
    <w:p>
      <w:pPr>
        <w:pStyle w:val="2"/>
        <w:rPr>
          <w:rFonts w:hint="eastAsia" w:ascii="Times New Roman" w:hAnsi="Times New Roman" w:eastAsia="仿宋_GB2312" w:cs="仿宋_GB2312"/>
          <w:color w:val="auto"/>
          <w:sz w:val="32"/>
          <w:szCs w:val="32"/>
          <w:highlight w:val="none"/>
          <w:lang w:eastAsia="zh-CN"/>
        </w:rPr>
      </w:pPr>
    </w:p>
    <w:p>
      <w:pPr>
        <w:pStyle w:val="2"/>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rPr>
          <w:rFonts w:hint="eastAsia" w:ascii="Times New Roman" w:hAnsi="Times New Roman" w:eastAsia="仿宋_GB2312" w:cs="仿宋_GB2312"/>
          <w:color w:val="auto"/>
          <w:sz w:val="32"/>
          <w:szCs w:val="32"/>
          <w:highlight w:val="none"/>
          <w:lang w:eastAsia="zh-CN"/>
        </w:rPr>
      </w:pPr>
    </w:p>
    <w:p>
      <w:pPr>
        <w:ind w:firstLine="800" w:firstLineChars="250"/>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 xml:space="preserve">     </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（图2：收入决算结构图）（饼状图）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0" w:name="_Toc15396605"/>
      <w:bookmarkStart w:id="21"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779145</wp:posOffset>
            </wp:positionH>
            <wp:positionV relativeFrom="paragraph">
              <wp:posOffset>1744345</wp:posOffset>
            </wp:positionV>
            <wp:extent cx="3880485" cy="2505075"/>
            <wp:effectExtent l="4445" t="4445" r="20320" b="508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816.29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689.15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84.42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127.14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15.57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（图3：支出决算结构图）（饼状图）</w:t>
      </w:r>
    </w:p>
    <w:p>
      <w:pPr>
        <w:spacing w:line="600" w:lineRule="exact"/>
        <w:ind w:firstLine="640" w:firstLineChars="200"/>
        <w:outlineLvl w:val="1"/>
        <w:rPr>
          <w:rStyle w:val="29"/>
          <w:rFonts w:ascii="Times New Roman" w:hAnsi="Times New Roman" w:eastAsia="黑体"/>
          <w:b w:val="0"/>
          <w:color w:val="auto"/>
          <w:highlight w:val="none"/>
        </w:rPr>
      </w:pPr>
      <w:bookmarkStart w:id="22" w:name="_Toc15396606"/>
      <w:bookmarkStart w:id="23"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2"/>
      <w:bookmarkEnd w:id="23"/>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w:t>
      </w:r>
      <w:r>
        <w:rPr>
          <w:rFonts w:hint="eastAsia" w:eastAsia="仿宋_GB2312" w:cs="仿宋_GB2312"/>
          <w:color w:val="auto"/>
          <w:kern w:val="2"/>
          <w:sz w:val="32"/>
          <w:szCs w:val="32"/>
          <w:highlight w:val="none"/>
          <w:lang w:val="en-US" w:eastAsia="zh-CN" w:bidi="ar-SA"/>
        </w:rPr>
        <w:t>均</w:t>
      </w:r>
      <w:r>
        <w:rPr>
          <w:rFonts w:hint="eastAsia" w:ascii="Times New Roman" w:hAnsi="Times New Roman" w:eastAsia="仿宋_GB2312" w:cs="仿宋_GB2312"/>
          <w:color w:val="auto"/>
          <w:kern w:val="2"/>
          <w:sz w:val="32"/>
          <w:szCs w:val="32"/>
          <w:highlight w:val="none"/>
          <w:lang w:val="en-US" w:eastAsia="zh-CN" w:bidi="ar-SA"/>
        </w:rPr>
        <w:t>为</w:t>
      </w:r>
      <w:r>
        <w:rPr>
          <w:rFonts w:hint="eastAsia" w:ascii="仿宋_GB2312" w:hAnsi="仿宋_GB2312" w:eastAsia="仿宋_GB2312" w:cs="仿宋_GB2312"/>
          <w:sz w:val="32"/>
          <w:szCs w:val="32"/>
        </w:rPr>
        <w:t>816.29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ascii="仿宋_GB2312" w:hAnsi="仿宋_GB2312" w:eastAsia="仿宋_GB2312" w:cs="仿宋_GB2312"/>
          <w:color w:val="auto"/>
          <w:sz w:val="32"/>
          <w:szCs w:val="32"/>
          <w:highlight w:val="none"/>
          <w:lang w:val="en-US" w:eastAsia="zh-CN"/>
        </w:rPr>
        <w:t>178.02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17.9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color w:val="auto"/>
          <w:sz w:val="32"/>
          <w:szCs w:val="32"/>
          <w:lang w:val="en-US" w:eastAsia="zh-CN"/>
        </w:rPr>
        <w:t>较2023年度没有四川省档案事业发展专项资金的支出和</w:t>
      </w:r>
      <w:r>
        <w:rPr>
          <w:rFonts w:hint="default" w:ascii="Times New Roman" w:hAnsi="Times New Roman" w:eastAsia="方正仿宋_GBK"/>
          <w:color w:val="auto"/>
          <w:sz w:val="33"/>
          <w:szCs w:val="33"/>
          <w:lang w:val="en-US" w:eastAsia="zh-CN"/>
        </w:rPr>
        <w:t>清偿以前年度欠款</w:t>
      </w:r>
      <w:r>
        <w:rPr>
          <w:rFonts w:hint="eastAsia" w:ascii="Times New Roman" w:hAnsi="Times New Roman" w:eastAsia="方正仿宋_GBK"/>
          <w:color w:val="auto"/>
          <w:sz w:val="33"/>
          <w:szCs w:val="33"/>
          <w:lang w:val="en-US" w:eastAsia="zh-CN"/>
        </w:rPr>
        <w:t>支出减少</w:t>
      </w:r>
      <w:r>
        <w:rPr>
          <w:rFonts w:hint="eastAsia" w:ascii="仿宋_GB2312" w:hAnsi="仿宋_GB2312" w:eastAsia="仿宋_GB2312" w:cs="仿宋_GB2312"/>
          <w:color w:val="auto"/>
          <w:sz w:val="32"/>
          <w:szCs w:val="32"/>
          <w:lang w:val="en-US" w:eastAsia="zh-CN"/>
        </w:rPr>
        <w:t>。</w:t>
      </w:r>
    </w:p>
    <w:p>
      <w:pPr>
        <w:pStyle w:val="2"/>
        <w:rPr>
          <w:rFonts w:hint="eastAsia" w:ascii="仿宋_GB2312" w:hAnsi="仿宋_GB2312" w:eastAsia="仿宋_GB2312" w:cs="仿宋_GB2312"/>
          <w:color w:val="auto"/>
          <w:sz w:val="32"/>
          <w:szCs w:val="32"/>
          <w:lang w:val="en-US" w:eastAsia="zh-CN"/>
        </w:rPr>
      </w:pPr>
      <w:r>
        <w:rPr>
          <w:rFonts w:ascii="Times New Roman" w:hAnsi="Times New Roman" w:eastAsia="方正仿宋_GBK"/>
          <w:color w:val="auto"/>
          <w:sz w:val="33"/>
          <w:szCs w:val="33"/>
        </w:rPr>
        <w:pict>
          <v:shape id="_x0000_s1027" o:spid="_x0000_s1027" o:spt="75" alt="0.png" type="#_x0000_t75" style="position:absolute;left:0pt;margin-left:33.75pt;margin-top:2.45pt;height:177.05pt;width:344.3pt;mso-wrap-distance-left:9pt;mso-wrap-distance-right:9pt;z-index:251662336;mso-width-relative:page;mso-height-relative:page;" o:ole="t" filled="f" o:preferrelative="t" stroked="f" coordsize="21600,21600" wrapcoords="21592 -2 0 0 0 21600 21592 21602 8 21602 21600 21600 21600 0 8 -2 21592 -2">
            <v:path/>
            <v:fill on="f" focussize="0,0"/>
            <v:stroke on="f"/>
            <v:imagedata r:id="rId9" cropleft="566f" croptop="799f" cropbottom="1864f" o:title="oleetimg_1757063962963462_642519424"/>
            <o:lock v:ext="edit" aspectratio="f"/>
            <w10:wrap type="tight"/>
          </v:shape>
          <o:OLEObject Type="Embed" ProgID="Excel.Sheet.8" ShapeID="_x0000_s1027" DrawAspect="Content" ObjectID="_1468075726" r:id="rId12">
            <o:LockedField>false</o:LockedField>
          </o:OLEObject>
        </w:pict>
      </w: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firstLineChars="200"/>
        <w:outlineLvl w:val="1"/>
        <w:rPr>
          <w:rStyle w:val="29"/>
          <w:rFonts w:ascii="Times New Roman" w:hAnsi="Times New Roman" w:eastAsia="黑体"/>
          <w:b w:val="0"/>
          <w:color w:val="auto"/>
          <w:highlight w:val="none"/>
        </w:rPr>
      </w:pPr>
      <w:bookmarkStart w:id="24" w:name="_Toc15377209"/>
      <w:bookmarkStart w:id="25"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4"/>
      <w:bookmarkEnd w:id="25"/>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6"/>
    </w:p>
    <w:p>
      <w:pPr>
        <w:spacing w:line="600" w:lineRule="exact"/>
        <w:ind w:firstLine="640"/>
        <w:rPr>
          <w:rFonts w:hint="eastAsia" w:eastAsia="方正仿宋_GBK"/>
          <w:color w:val="auto"/>
          <w:sz w:val="33"/>
          <w:szCs w:val="33"/>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806.29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98.77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%。与2023年度相比，一般公共预算财政拨款支出减少188.02万元，下降18.9%。主要变动原因是</w:t>
      </w:r>
      <w:r>
        <w:rPr>
          <w:rFonts w:hint="eastAsia" w:ascii="仿宋_GB2312" w:hAnsi="仿宋_GB2312" w:eastAsia="仿宋_GB2312" w:cs="仿宋_GB2312"/>
          <w:color w:val="auto"/>
          <w:sz w:val="32"/>
          <w:szCs w:val="32"/>
          <w:lang w:val="en-US" w:eastAsia="zh-CN"/>
        </w:rPr>
        <w:t>没有四川省档案事业发展专项资金的支出和</w:t>
      </w:r>
      <w:r>
        <w:rPr>
          <w:rFonts w:hint="default" w:ascii="Times New Roman" w:hAnsi="Times New Roman" w:eastAsia="方正仿宋_GBK"/>
          <w:color w:val="auto"/>
          <w:sz w:val="33"/>
          <w:szCs w:val="33"/>
          <w:lang w:val="en-US" w:eastAsia="zh-CN"/>
        </w:rPr>
        <w:t>清偿以前年度欠款</w:t>
      </w:r>
      <w:r>
        <w:rPr>
          <w:rFonts w:hint="eastAsia" w:ascii="Times New Roman" w:hAnsi="Times New Roman" w:eastAsia="方正仿宋_GBK"/>
          <w:color w:val="auto"/>
          <w:sz w:val="33"/>
          <w:szCs w:val="33"/>
          <w:lang w:val="en-US" w:eastAsia="zh-CN"/>
        </w:rPr>
        <w:t>支出减少</w:t>
      </w:r>
      <w:r>
        <w:rPr>
          <w:rFonts w:hint="eastAsia" w:eastAsia="方正仿宋_GBK"/>
          <w:color w:val="auto"/>
          <w:sz w:val="33"/>
          <w:szCs w:val="33"/>
          <w:lang w:val="en-US"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709295</wp:posOffset>
            </wp:positionH>
            <wp:positionV relativeFrom="paragraph">
              <wp:posOffset>3175</wp:posOffset>
            </wp:positionV>
            <wp:extent cx="4309745" cy="1354455"/>
            <wp:effectExtent l="4445" t="4445" r="10160" b="1270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7"/>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806.29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一般公共服务支出568.88万元，占</w:t>
      </w:r>
      <w:r>
        <w:rPr>
          <w:rFonts w:hint="eastAsia" w:eastAsia="仿宋_GB2312" w:cs="仿宋_GB2312"/>
          <w:color w:val="auto"/>
          <w:kern w:val="2"/>
          <w:sz w:val="32"/>
          <w:szCs w:val="32"/>
          <w:highlight w:val="none"/>
          <w:lang w:val="en-US" w:eastAsia="zh-CN" w:bidi="ar-SA"/>
        </w:rPr>
        <w:t>70.56</w:t>
      </w:r>
      <w:r>
        <w:rPr>
          <w:rFonts w:hint="eastAsia" w:ascii="Times New Roman" w:hAnsi="Times New Roman" w:eastAsia="仿宋_GB2312" w:cs="仿宋_GB2312"/>
          <w:color w:val="auto"/>
          <w:kern w:val="2"/>
          <w:sz w:val="32"/>
          <w:szCs w:val="32"/>
          <w:highlight w:val="none"/>
          <w:lang w:val="en-US" w:eastAsia="zh-CN" w:bidi="ar-SA"/>
        </w:rPr>
        <w:t>%；社会保障和就业支出155.45万元，占</w:t>
      </w:r>
      <w:r>
        <w:rPr>
          <w:rFonts w:hint="eastAsia" w:eastAsia="仿宋_GB2312" w:cs="仿宋_GB2312"/>
          <w:color w:val="auto"/>
          <w:kern w:val="2"/>
          <w:sz w:val="32"/>
          <w:szCs w:val="32"/>
          <w:highlight w:val="none"/>
          <w:lang w:val="en-US" w:eastAsia="zh-CN" w:bidi="ar-SA"/>
        </w:rPr>
        <w:t>19.28</w:t>
      </w:r>
      <w:r>
        <w:rPr>
          <w:rFonts w:hint="eastAsia" w:ascii="Times New Roman" w:hAnsi="Times New Roman" w:eastAsia="仿宋_GB2312" w:cs="仿宋_GB2312"/>
          <w:color w:val="auto"/>
          <w:kern w:val="2"/>
          <w:sz w:val="32"/>
          <w:szCs w:val="32"/>
          <w:highlight w:val="none"/>
          <w:lang w:val="en-US" w:eastAsia="zh-CN" w:bidi="ar-SA"/>
        </w:rPr>
        <w:t>%；卫生健康支出37.02万元，占</w:t>
      </w:r>
      <w:r>
        <w:rPr>
          <w:rFonts w:hint="eastAsia" w:eastAsia="仿宋_GB2312" w:cs="仿宋_GB2312"/>
          <w:color w:val="auto"/>
          <w:kern w:val="2"/>
          <w:sz w:val="32"/>
          <w:szCs w:val="32"/>
          <w:highlight w:val="none"/>
          <w:lang w:val="en-US" w:eastAsia="zh-CN" w:bidi="ar-SA"/>
        </w:rPr>
        <w:t>4.59</w:t>
      </w:r>
      <w:r>
        <w:rPr>
          <w:rFonts w:hint="eastAsia" w:ascii="Times New Roman" w:hAnsi="Times New Roman" w:eastAsia="仿宋_GB2312" w:cs="仿宋_GB2312"/>
          <w:color w:val="auto"/>
          <w:kern w:val="2"/>
          <w:sz w:val="32"/>
          <w:szCs w:val="32"/>
          <w:highlight w:val="none"/>
          <w:lang w:val="en-US" w:eastAsia="zh-CN" w:bidi="ar-SA"/>
        </w:rPr>
        <w:t>%；住房保障支出44.93万元，占</w:t>
      </w:r>
      <w:r>
        <w:rPr>
          <w:rFonts w:hint="eastAsia" w:eastAsia="仿宋_GB2312" w:cs="仿宋_GB2312"/>
          <w:color w:val="auto"/>
          <w:kern w:val="2"/>
          <w:sz w:val="32"/>
          <w:szCs w:val="32"/>
          <w:highlight w:val="none"/>
          <w:lang w:val="en-US" w:eastAsia="zh-CN" w:bidi="ar-SA"/>
        </w:rPr>
        <w:t>5.57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drawing>
          <wp:inline distT="0" distB="0" distL="114300" distR="114300">
            <wp:extent cx="5117465" cy="2667000"/>
            <wp:effectExtent l="4445" t="4445" r="21590"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9" w:name="_Toc15378460"/>
      <w:bookmarkStart w:id="30" w:name="_Toc15377444"/>
      <w:bookmarkStart w:id="31"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806.29</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9"/>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1.</w:t>
      </w:r>
      <w:r>
        <w:rPr>
          <w:rFonts w:hint="eastAsia" w:ascii="Times New Roman" w:hAnsi="Times New Roman" w:eastAsia="仿宋_GB2312" w:cs="仿宋_GB2312"/>
          <w:color w:val="auto"/>
          <w:kern w:val="2"/>
          <w:sz w:val="32"/>
          <w:szCs w:val="32"/>
          <w:highlight w:val="none"/>
          <w:lang w:val="en-US" w:eastAsia="zh-CN" w:bidi="ar-SA"/>
        </w:rPr>
        <w:t>一般公共服务（类）档案事务（款）行政运行（项）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支出决算为452.45万元，完成预算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2.</w:t>
      </w:r>
      <w:r>
        <w:rPr>
          <w:rFonts w:hint="eastAsia" w:ascii="Times New Roman" w:hAnsi="Times New Roman" w:eastAsia="仿宋_GB2312" w:cs="仿宋_GB2312"/>
          <w:color w:val="auto"/>
          <w:kern w:val="2"/>
          <w:sz w:val="32"/>
          <w:szCs w:val="32"/>
          <w:highlight w:val="none"/>
          <w:lang w:val="en-US" w:eastAsia="zh-CN" w:bidi="ar-SA"/>
        </w:rPr>
        <w:t>一般公共服务（类）档案事务（款）档案馆（项）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支出决算为115.98万元，完成预算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一般公共服务（类）组织事务（款）其他组织事务支出（项）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支出决算为0.45万元，完成预算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支出决算为91.39万元，完成预算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支出决算为54.25万元，完成预算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支出决算为9.82万元，完成预算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支出决算为29.25万元，完成预算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支出决算为2.87万元，完成预算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支出决算为4.20万元，完成预算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卫生健康（类）其他卫生健康支出（款）其他卫生健康支出（项）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支出决算为0.71万元，完成预算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支出决算为44.93万元，完成预算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tabs>
          <w:tab w:val="right" w:pos="8306"/>
        </w:tabs>
        <w:spacing w:line="600" w:lineRule="exact"/>
        <w:ind w:firstLine="640"/>
        <w:outlineLvl w:val="1"/>
        <w:rPr>
          <w:rStyle w:val="29"/>
          <w:rFonts w:ascii="Times New Roman" w:hAnsi="Times New Roman"/>
          <w:color w:val="auto"/>
          <w:highlight w:val="none"/>
        </w:rPr>
      </w:pPr>
      <w:bookmarkStart w:id="32" w:name="_Toc15377214"/>
      <w:bookmarkStart w:id="33"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2"/>
      <w:bookmarkEnd w:id="33"/>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689.15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617.12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72.03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Times New Roman" w:hAnsi="Times New Roman" w:eastAsia="黑体"/>
          <w:b w:val="0"/>
          <w:color w:val="auto"/>
          <w:highlight w:val="none"/>
        </w:rPr>
      </w:pPr>
      <w:bookmarkStart w:id="34" w:name="_Toc15377215"/>
      <w:bookmarkStart w:id="35"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4"/>
      <w:bookmarkEnd w:id="35"/>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1.26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0.28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18.18</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万元；公务用车购置及运行维护费支出决算</w:t>
      </w:r>
      <w:r>
        <w:rPr>
          <w:rFonts w:hint="eastAsia" w:ascii="仿宋_GB2312" w:hAnsi="仿宋_GB2312" w:eastAsia="仿宋_GB2312" w:cs="仿宋_GB2312"/>
          <w:sz w:val="32"/>
          <w:szCs w:val="32"/>
        </w:rPr>
        <w:t>0.71</w:t>
      </w:r>
      <w:r>
        <w:rPr>
          <w:rFonts w:hint="eastAsia" w:ascii="仿宋_GB2312" w:hAnsi="仿宋_GB2312" w:eastAsia="仿宋_GB2312" w:cs="仿宋_GB2312"/>
          <w:color w:val="auto"/>
          <w:kern w:val="2"/>
          <w:sz w:val="32"/>
          <w:szCs w:val="32"/>
          <w:highlight w:val="none"/>
          <w:lang w:val="en-US" w:eastAsia="zh-CN" w:bidi="ar-SA"/>
        </w:rPr>
        <w:t>万元，占56.35%；公务接待费支出决算</w:t>
      </w:r>
      <w:r>
        <w:rPr>
          <w:rFonts w:hint="eastAsia" w:ascii="仿宋_GB2312" w:hAnsi="仿宋_GB2312" w:eastAsia="仿宋_GB2312" w:cs="仿宋_GB2312"/>
          <w:sz w:val="32"/>
          <w:szCs w:val="32"/>
        </w:rPr>
        <w:t>0.55</w:t>
      </w:r>
      <w:r>
        <w:rPr>
          <w:rFonts w:hint="eastAsia" w:ascii="仿宋_GB2312" w:hAnsi="仿宋_GB2312" w:eastAsia="仿宋_GB2312" w:cs="仿宋_GB2312"/>
          <w:color w:val="auto"/>
          <w:kern w:val="2"/>
          <w:sz w:val="32"/>
          <w:szCs w:val="32"/>
          <w:highlight w:val="none"/>
          <w:lang w:val="en-US" w:eastAsia="zh-CN" w:bidi="ar-SA"/>
        </w:rPr>
        <w:t>万元，占43.65%。具体情况如下：</w:t>
      </w:r>
    </w:p>
    <w:p>
      <w:pPr>
        <w:pStyle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109220</wp:posOffset>
            </wp:positionH>
            <wp:positionV relativeFrom="paragraph">
              <wp:posOffset>249555</wp:posOffset>
            </wp:positionV>
            <wp:extent cx="5099050" cy="2800985"/>
            <wp:effectExtent l="4445" t="4445" r="20955" b="1397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0.71万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0.06</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7.69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按照厉行节约要求，减少“三公经费”开支。</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0.71</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外出调研、参加四大班子重要会议、办理涉密事项、征集档案、业务指导等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0.55万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0.21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27.63</w:t>
      </w:r>
      <w:r>
        <w:rPr>
          <w:rFonts w:hint="eastAsia" w:ascii="Times New Roman" w:hAnsi="Times New Roman" w:eastAsia="仿宋_GB2312" w:cs="仿宋_GB2312"/>
          <w:color w:val="auto"/>
          <w:kern w:val="2"/>
          <w:sz w:val="32"/>
          <w:szCs w:val="32"/>
          <w:highlight w:val="none"/>
          <w:lang w:val="en-US" w:eastAsia="zh-CN" w:bidi="ar-SA"/>
        </w:rPr>
        <w:t>%。主要原因是主要原因是</w:t>
      </w:r>
      <w:r>
        <w:rPr>
          <w:rFonts w:hint="eastAsia" w:eastAsia="仿宋_GB2312" w:cs="仿宋_GB2312"/>
          <w:color w:val="auto"/>
          <w:kern w:val="2"/>
          <w:sz w:val="32"/>
          <w:szCs w:val="32"/>
          <w:highlight w:val="none"/>
          <w:lang w:val="en-US" w:eastAsia="zh-CN" w:bidi="ar-SA"/>
        </w:rPr>
        <w:t>按照厉行节约要求，减少“三公经费”开支</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0.55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34</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0.55</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邀请方小榕一行到市档案馆考订方毅档案背景0.2万元；接待全国高校在川大学生宣讲“万档思政”志愿服务队到市档案馆开展工作人员0.06万元；接待省档案局档案业务建设评价工作组0.17万元；接待辽宁省档案馆到市档案馆对接档案征集一行人员0.12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bookmarkStart w:id="38" w:name="_Toc15377218"/>
      <w:bookmarkStart w:id="39" w:name="_Toc15396610"/>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8"/>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1.22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用于支付往年度企业欠款。</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0" w:name="_Toc15396611"/>
      <w:bookmarkStart w:id="41"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0"/>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2" w:name="_Toc15377221"/>
      <w:bookmarkStart w:id="43"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2"/>
      <w:bookmarkEnd w:id="43"/>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4" w:name="_Toc15377222"/>
      <w:r>
        <w:rPr>
          <w:rFonts w:hint="eastAsia" w:ascii="Times New Roman" w:hAnsi="Times New Roman" w:eastAsia="楷体_GB2312" w:cs="楷体_GB2312"/>
          <w:b/>
          <w:color w:val="auto"/>
          <w:sz w:val="32"/>
          <w:szCs w:val="32"/>
          <w:highlight w:val="none"/>
        </w:rPr>
        <w:t>（一）机关运行经费支出情况</w:t>
      </w:r>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四川省攀枝花市档案馆</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72.03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1.46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1.99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厉行节约，压缩开支。</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5" w:name="_Toc15377223"/>
      <w:r>
        <w:rPr>
          <w:rFonts w:hint="eastAsia" w:ascii="Times New Roman" w:hAnsi="Times New Roman" w:eastAsia="楷体_GB2312" w:cs="楷体_GB2312"/>
          <w:b/>
          <w:color w:val="auto"/>
          <w:sz w:val="32"/>
          <w:szCs w:val="32"/>
          <w:highlight w:val="none"/>
        </w:rPr>
        <w:t>（二）政府采购支出情况</w:t>
      </w:r>
      <w:bookmarkEnd w:id="4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四川省攀枝花市档案馆</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6.37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3.19</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0.3</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2.89</w:t>
      </w:r>
      <w:r>
        <w:rPr>
          <w:rFonts w:hint="eastAsia" w:ascii="仿宋_GB2312" w:hAnsi="仿宋_GB2312" w:eastAsia="仿宋_GB2312" w:cs="仿宋_GB2312"/>
          <w:color w:val="auto"/>
          <w:kern w:val="2"/>
          <w:sz w:val="32"/>
          <w:szCs w:val="32"/>
          <w:highlight w:val="none"/>
          <w:lang w:val="en-US" w:eastAsia="zh-CN" w:bidi="ar-SA"/>
        </w:rPr>
        <w:t>万元。主要用于购买网络信息化设备及办公用品。授予中小企业合同金额</w:t>
      </w:r>
      <w:r>
        <w:rPr>
          <w:rFonts w:hint="eastAsia" w:ascii="仿宋_GB2312" w:hAnsi="仿宋_GB2312" w:eastAsia="仿宋_GB2312" w:cs="仿宋_GB2312"/>
          <w:sz w:val="32"/>
          <w:szCs w:val="32"/>
        </w:rPr>
        <w:t>2.59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40.58</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0.76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11.99</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6" w:name="_Toc15377224"/>
      <w:r>
        <w:rPr>
          <w:rFonts w:hint="eastAsia" w:ascii="Times New Roman" w:hAnsi="Times New Roman" w:eastAsia="楷体_GB2312" w:cs="楷体_GB2312"/>
          <w:b/>
          <w:color w:val="auto"/>
          <w:sz w:val="32"/>
          <w:szCs w:val="32"/>
          <w:highlight w:val="none"/>
        </w:rPr>
        <w:t>（三）国有资产占有使用情况</w:t>
      </w:r>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四川省攀枝花市档案馆</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辆、其他用车1辆，其他用车主要是用于外出调研考察、参加重要会议、办理涉密事项和公务接待等。单价100万元（含）以上设备（不含车辆）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市档案馆搬迁经费</w:t>
      </w:r>
      <w:r>
        <w:rPr>
          <w:rFonts w:hint="eastAsia" w:ascii="Times New Roman" w:hAnsi="Times New Roman" w:eastAsia="仿宋_GB2312" w:cs="仿宋_GB2312"/>
          <w:color w:val="auto"/>
          <w:kern w:val="2"/>
          <w:sz w:val="32"/>
          <w:szCs w:val="32"/>
          <w:highlight w:val="none"/>
          <w:lang w:val="en-US" w:eastAsia="zh-CN" w:bidi="ar-SA"/>
        </w:rPr>
        <w:t>（项目名称）等</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ins w:id="2" w:author="user" w:date="2025-09-15T11:26:28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3" w:author="user" w:date="2025-09-15T11:26:36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4" w:author="user" w:date="2025-09-15T11:26:36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5" w:author="user" w:date="2025-09-15T11:26:37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6" w:author="user" w:date="2025-09-15T11:26:37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7" w:author="user" w:date="2025-09-15T11:26:37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8" w:author="user" w:date="2025-09-15T11:26:37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9" w:author="user" w:date="2025-09-15T11:26:37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10" w:author="user" w:date="2025-09-15T11:26:37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11" w:author="user" w:date="2025-09-15T11:26:37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12" w:author="user" w:date="2025-09-15T11:26:38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13" w:author="user" w:date="2025-09-15T11:26:38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14" w:author="user" w:date="2025-09-15T11:26:38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15" w:author="user" w:date="2025-09-15T11:26:38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16" w:author="user" w:date="2025-09-15T11:26:41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17" w:author="user" w:date="2025-09-15T11:26:41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18" w:author="user" w:date="2025-09-15T11:26:41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19" w:author="user" w:date="2025-09-15T11:26:41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20" w:author="user" w:date="2025-09-15T11:26:42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21" w:author="user" w:date="2025-09-15T11:26:42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22" w:author="user" w:date="2025-09-15T11:26:42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ins w:id="23" w:author="user" w:date="2025-09-15T11:26:42Z"/>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0"/>
        <w:rPr>
          <w:del w:id="25" w:author="user" w:date="2025-09-15T11:26:25Z"/>
          <w:rFonts w:hint="eastAsia" w:ascii="Times New Roman" w:hAnsi="Times New Roman" w:eastAsia="仿宋_GB2312" w:cs="仿宋_GB2312"/>
          <w:color w:val="auto"/>
          <w:kern w:val="2"/>
          <w:sz w:val="32"/>
          <w:szCs w:val="32"/>
          <w:highlight w:val="none"/>
          <w:lang w:val="en-US" w:eastAsia="zh-CN" w:bidi="ar-SA"/>
        </w:rPr>
        <w:pPrChange w:id="24" w:author="user" w:date="2025-09-15T11:26:44Z">
          <w:pPr>
            <w:spacing w:line="600" w:lineRule="exact"/>
            <w:ind w:firstLine="640"/>
          </w:pPr>
        </w:pPrChange>
      </w:pPr>
      <w:del w:id="26" w:author="user" w:date="2025-09-15T11:26:25Z">
        <w:r>
          <w:rPr>
            <w:rFonts w:hint="eastAsia" w:ascii="仿宋_GB2312" w:hAnsi="仿宋_GB2312" w:eastAsia="仿宋_GB2312" w:cs="仿宋_GB2312"/>
            <w:color w:val="auto"/>
            <w:kern w:val="2"/>
            <w:sz w:val="32"/>
            <w:szCs w:val="32"/>
            <w:highlight w:val="none"/>
            <w:lang w:val="en-US" w:eastAsia="zh-CN" w:bidi="ar-SA"/>
          </w:rPr>
          <w:delText>组织对2024年度一般公共预算、政府性基金预算、国有资本经营预算、社会保险基金预算以及资本资产、债券资金等全面开展绩效自评，形成攀枝花市档案馆单位整体（含部门预算项目）绩效自评报告、市档案馆搬迁经费、市级挂职干部补助等专项预算项目绩效自评报告，其中，攀枝花市档案馆单位整体（含部门预算项目）绩效自评得分为100分，绩效自评综述：</w:delText>
        </w:r>
      </w:del>
      <w:del w:id="27" w:author="user" w:date="2025-09-15T11:26:25Z">
        <w:r>
          <w:rPr>
            <w:rFonts w:hint="eastAsia" w:ascii="仿宋_GB2312" w:hAnsi="仿宋_GB2312" w:eastAsia="仿宋_GB2312" w:cs="仿宋_GB2312"/>
            <w:sz w:val="33"/>
            <w:szCs w:val="33"/>
            <w:lang w:val="en-US" w:eastAsia="zh-CN"/>
          </w:rPr>
          <w:delText>2024年</w:delText>
        </w:r>
      </w:del>
      <w:del w:id="28" w:author="user" w:date="2025-09-15T11:26:25Z">
        <w:r>
          <w:rPr>
            <w:rFonts w:hint="eastAsia" w:ascii="仿宋_GB2312" w:hAnsi="仿宋_GB2312" w:eastAsia="仿宋_GB2312" w:cs="仿宋_GB2312"/>
            <w:sz w:val="33"/>
            <w:szCs w:val="33"/>
            <w:lang w:eastAsia="zh-CN"/>
          </w:rPr>
          <w:delText>市档案馆</w:delText>
        </w:r>
      </w:del>
      <w:del w:id="29" w:author="user" w:date="2025-09-15T11:26:25Z">
        <w:r>
          <w:rPr>
            <w:rFonts w:hint="eastAsia" w:ascii="仿宋_GB2312" w:hAnsi="仿宋_GB2312" w:eastAsia="仿宋_GB2312" w:cs="仿宋_GB2312"/>
            <w:sz w:val="33"/>
            <w:szCs w:val="33"/>
            <w:lang w:val="en-US" w:eastAsia="zh-CN"/>
          </w:rPr>
          <w:delText>100%保障在职27名职工、退休27名职工人员经费正常支出，保障职工权益；合理安排行政办公经费，做到厉行节约，不铺张、不浪费，并实现以前年度办公欠款支出；积极谋划落实档案业务工作服务中心大局，做好档案基础业务如档案指导、档案接收、档案利用、档案征集等工作，推动数字档案馆建设工作，合理合规使用各项经费等；</w:delText>
        </w:r>
      </w:del>
      <w:del w:id="30" w:author="user" w:date="2025-09-15T11:26:25Z">
        <w:r>
          <w:rPr>
            <w:rFonts w:hint="eastAsia" w:ascii="仿宋_GB2312" w:hAnsi="仿宋_GB2312" w:eastAsia="仿宋_GB2312" w:cs="仿宋_GB2312"/>
            <w:color w:val="auto"/>
            <w:kern w:val="2"/>
            <w:sz w:val="32"/>
            <w:szCs w:val="32"/>
            <w:highlight w:val="none"/>
            <w:lang w:val="en-US" w:eastAsia="zh-CN" w:bidi="ar-SA"/>
          </w:rPr>
          <w:delText>市档案馆搬迁经费专项预算项目绩效自评得分为100分，绩效自评综述：成功化解部分欠款，顺利实现搬迁欠款的阶段性支付目标，有效化解矛盾；市级挂职干部补助专项预算项目绩效自评得分为100分，绩效自评综述：及时发放挂职干部补助，使挂职干部待遇政策成功落地见效。干部异地体检专项预算项目绩效自评得分为100分，绩效自评综述：有效保障了异地干部的体检待遇；清欠市档案馆搬迁经费专项预算项目绩效自评得分为100分，绩效自评综述：成功化解部分欠款，顺利实现搬迁欠款的阶段性支付目标，有效化解矛盾。</w:delText>
        </w:r>
      </w:del>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7" w:name="_Toc15377225"/>
      <w:bookmarkStart w:id="48"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7"/>
      <w:bookmarkEnd w:id="48"/>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pStyle w:val="26"/>
        <w:pageBreakBefore w:val="0"/>
        <w:widowControl w:val="0"/>
        <w:kinsoku/>
        <w:wordWrap/>
        <w:overflowPunct/>
        <w:topLinePunct w:val="0"/>
        <w:autoSpaceDE w:val="0"/>
        <w:autoSpaceDN w:val="0"/>
        <w:spacing w:line="576" w:lineRule="exact"/>
        <w:ind w:firstLine="660" w:firstLineChars="200"/>
        <w:rPr>
          <w:rFonts w:hint="default" w:ascii="Times New Roman" w:hAnsi="Times New Roman" w:eastAsia="方正仿宋_GBK" w:cs="Times New Roman"/>
          <w:color w:val="auto"/>
          <w:kern w:val="2"/>
          <w:sz w:val="33"/>
          <w:szCs w:val="33"/>
          <w:lang w:bidi="ar-SA"/>
        </w:rPr>
      </w:pPr>
      <w:r>
        <w:rPr>
          <w:rFonts w:hint="default" w:ascii="Times New Roman" w:hAnsi="Times New Roman" w:eastAsia="方正仿宋_GBK" w:cs="Times New Roman"/>
          <w:color w:val="auto"/>
          <w:kern w:val="2"/>
          <w:sz w:val="33"/>
          <w:szCs w:val="33"/>
          <w:lang w:bidi="ar-SA"/>
        </w:rPr>
        <w:t>9.</w:t>
      </w:r>
      <w:r>
        <w:rPr>
          <w:rFonts w:hint="eastAsia" w:ascii="仿宋_GB2312" w:hAnsi="仿宋_GB2312" w:eastAsia="仿宋_GB2312" w:cs="仿宋_GB2312"/>
          <w:color w:val="auto"/>
          <w:kern w:val="2"/>
          <w:sz w:val="33"/>
          <w:szCs w:val="33"/>
          <w:lang w:bidi="ar-SA"/>
        </w:rPr>
        <w:t>一般公共服务（类）档案事务（款）一般行政管理事务、档案馆（项）: 指保障市档案馆特定档案业务工作开展使用的资金。</w:t>
      </w:r>
    </w:p>
    <w:p>
      <w:pPr>
        <w:pStyle w:val="26"/>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10.一般公共服务（类）组织事务（款）其他组织事务支出（项）: 指挂职干部补助支出。</w:t>
      </w:r>
    </w:p>
    <w:p>
      <w:pPr>
        <w:pStyle w:val="26"/>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11.社会保障和就业（类）行政事业单位养老（款）退休支出（项）: 指市档案馆退休职工生活补助支出。</w:t>
      </w:r>
    </w:p>
    <w:p>
      <w:pPr>
        <w:pStyle w:val="26"/>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12.社会保障和就业（类）行政事业单位养老（款）机关事业基本养老保险支出（项）: 指市档案馆职工养老保险缴费支出。</w:t>
      </w:r>
    </w:p>
    <w:p>
      <w:pPr>
        <w:pStyle w:val="26"/>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13.社会保障和就业（类）抚恤（款）死亡抚恤支出（项）: 指市档案馆在职及退休职工死亡抚恤支出、遗属生活补助支出。</w:t>
      </w:r>
    </w:p>
    <w:p>
      <w:pPr>
        <w:pStyle w:val="26"/>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14.卫生健康（类）其他卫生健康（款）其他卫生健康支出（项）:指市档案馆异地老干部体检费支出。</w:t>
      </w:r>
    </w:p>
    <w:p>
      <w:pPr>
        <w:pStyle w:val="26"/>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15.住房保障（类）住房改革（款）住房公积金支出（项）: 指市档案馆职工住房公积金支出。</w:t>
      </w:r>
    </w:p>
    <w:p>
      <w:pPr>
        <w:pageBreakBefore w:val="0"/>
        <w:widowControl w:val="0"/>
        <w:suppressAutoHyphens/>
        <w:kinsoku/>
        <w:wordWrap/>
        <w:overflowPunct/>
        <w:topLinePunct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16.基本支出：指为保障机构正常运转、完成日常工作任务而发生的人员支出和公用支出。</w:t>
      </w:r>
    </w:p>
    <w:p>
      <w:pPr>
        <w:pageBreakBefore w:val="0"/>
        <w:widowControl w:val="0"/>
        <w:suppressAutoHyphens/>
        <w:kinsoku/>
        <w:wordWrap/>
        <w:overflowPunct/>
        <w:topLinePunct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17.项目支出：指在基本支出之外为完成特定行政任务和事业发展目标所发生的支出。 </w:t>
      </w:r>
    </w:p>
    <w:p>
      <w:pPr>
        <w:pageBreakBefore w:val="0"/>
        <w:widowControl w:val="0"/>
        <w:suppressAutoHyphens/>
        <w:kinsoku/>
        <w:wordWrap/>
        <w:overflowPunct/>
        <w:topLinePunct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18.经营支出：指事业单位在专业业务活动及其辅助活动之外开展非独立核算经营活动发生的支出。</w:t>
      </w:r>
    </w:p>
    <w:p>
      <w:pPr>
        <w:pStyle w:val="26"/>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19.“三公”经费：指</w:t>
      </w:r>
      <w:r>
        <w:rPr>
          <w:rFonts w:hint="eastAsia" w:ascii="Times New Roman" w:hAnsi="Times New Roman" w:eastAsia="仿宋_GB2312" w:cs="仿宋_GB2312"/>
          <w:color w:val="auto"/>
          <w:kern w:val="2"/>
          <w:sz w:val="32"/>
          <w:szCs w:val="32"/>
          <w:highlight w:val="none"/>
          <w:lang w:val="en-US" w:eastAsia="zh-CN" w:bidi="ar-SA"/>
        </w:rPr>
        <w:t>单位</w:t>
      </w:r>
      <w:r>
        <w:rPr>
          <w:rFonts w:hint="default" w:ascii="Times New Roman" w:hAnsi="Times New Roman" w:eastAsia="仿宋_GB2312" w:cs="仿宋_GB2312"/>
          <w:color w:val="auto"/>
          <w:kern w:val="2"/>
          <w:sz w:val="32"/>
          <w:szCs w:val="32"/>
          <w:highlight w:val="none"/>
          <w:lang w:val="en-US" w:eastAsia="zh-CN" w:bidi="ar-SA"/>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eastAsia" w:ascii="Times New Roman" w:hAnsi="Times New Roman" w:eastAsia="黑体"/>
          <w:color w:val="auto"/>
          <w:sz w:val="44"/>
          <w:szCs w:val="44"/>
          <w:highlight w:val="none"/>
        </w:rPr>
      </w:pPr>
      <w:bookmarkStart w:id="49" w:name="_Toc15396614"/>
      <w:bookmarkStart w:id="50" w:name="_Toc15377226"/>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9"/>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del w:id="31" w:author="user" w:date="2025-09-15T11:39:18Z"/>
          <w:rFonts w:hint="default" w:ascii="Times New Roman" w:hAnsi="Times New Roman" w:eastAsia="黑体" w:cs="方正小标宋简体"/>
          <w:color w:val="auto"/>
          <w:sz w:val="44"/>
          <w:szCs w:val="44"/>
          <w:highlight w:val="none"/>
          <w:lang w:val="en-US" w:eastAsia="zh-CN"/>
        </w:rPr>
      </w:pPr>
      <w:del w:id="32" w:author="user" w:date="2025-09-15T11:39:18Z">
        <w:r>
          <w:rPr>
            <w:rFonts w:hint="default" w:ascii="Times New Roman" w:hAnsi="Times New Roman" w:eastAsia="黑体" w:cs="黑体"/>
            <w:color w:val="auto"/>
            <w:sz w:val="32"/>
            <w:szCs w:val="32"/>
            <w:highlight w:val="none"/>
            <w:lang w:val="en-US"/>
          </w:rPr>
          <w:delText>附件</w:delText>
        </w:r>
      </w:del>
      <w:del w:id="33" w:author="user" w:date="2025-09-15T11:39:18Z">
        <w:r>
          <w:rPr>
            <w:rFonts w:hint="default" w:ascii="Times New Roman" w:hAnsi="Times New Roman" w:eastAsia="黑体" w:cs="黑体"/>
            <w:color w:val="auto"/>
            <w:sz w:val="32"/>
            <w:szCs w:val="32"/>
            <w:highlight w:val="none"/>
            <w:lang w:val="en-US" w:eastAsia="zh-CN"/>
          </w:rPr>
          <w:delText>1</w:delText>
        </w:r>
      </w:del>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del w:id="34" w:author="user" w:date="2025-09-15T11:39:18Z"/>
          <w:rFonts w:hint="default" w:ascii="Times New Roman" w:hAnsi="Times New Roman" w:eastAsia="方正小标宋简体" w:cs="Times New Roman"/>
          <w:b w:val="0"/>
          <w:bCs/>
          <w:sz w:val="44"/>
          <w:szCs w:val="44"/>
          <w:highlight w:val="none"/>
          <w:shd w:val="clear" w:color="auto" w:fill="FFFFFF"/>
          <w:lang w:val="en-US"/>
        </w:rPr>
      </w:pPr>
    </w:p>
    <w:p>
      <w:pPr>
        <w:keepNext w:val="0"/>
        <w:keepLines w:val="0"/>
        <w:pageBreakBefore w:val="0"/>
        <w:widowControl/>
        <w:suppressAutoHyphens/>
        <w:kinsoku/>
        <w:wordWrap/>
        <w:overflowPunct/>
        <w:topLinePunct w:val="0"/>
        <w:autoSpaceDE/>
        <w:autoSpaceDN/>
        <w:bidi w:val="0"/>
        <w:spacing w:line="576" w:lineRule="exact"/>
        <w:contextualSpacing/>
        <w:jc w:val="center"/>
        <w:textAlignment w:val="auto"/>
        <w:outlineLvl w:val="9"/>
        <w:rPr>
          <w:del w:id="35" w:author="user" w:date="2025-09-15T11:39:18Z"/>
          <w:rFonts w:hint="default" w:ascii="Times New Roman" w:hAnsi="Times New Roman" w:eastAsia="方正小标宋简体"/>
          <w:bCs/>
          <w:color w:val="auto"/>
          <w:sz w:val="44"/>
          <w:szCs w:val="44"/>
          <w:highlight w:val="none"/>
          <w:shd w:val="clear" w:color="auto" w:fill="FFFFFF"/>
          <w:lang w:val="en-US" w:eastAsia="zh-CN"/>
        </w:rPr>
      </w:pPr>
      <w:del w:id="36" w:author="user" w:date="2025-09-15T11:39:18Z">
        <w:r>
          <w:rPr>
            <w:rFonts w:hint="default" w:ascii="Times New Roman" w:hAnsi="Times New Roman" w:eastAsia="方正小标宋简体"/>
            <w:bCs/>
            <w:color w:val="auto"/>
            <w:sz w:val="44"/>
            <w:szCs w:val="44"/>
            <w:highlight w:val="none"/>
            <w:shd w:val="clear" w:color="auto" w:fill="FFFFFF"/>
            <w:lang w:val="en-US" w:eastAsia="zh-CN"/>
          </w:rPr>
          <w:delText>攀枝花市档案馆</w:delText>
        </w:r>
      </w:del>
    </w:p>
    <w:p>
      <w:pPr>
        <w:keepNext w:val="0"/>
        <w:keepLines w:val="0"/>
        <w:pageBreakBefore w:val="0"/>
        <w:widowControl/>
        <w:suppressAutoHyphens/>
        <w:kinsoku/>
        <w:wordWrap/>
        <w:overflowPunct/>
        <w:topLinePunct w:val="0"/>
        <w:autoSpaceDE/>
        <w:autoSpaceDN/>
        <w:bidi w:val="0"/>
        <w:spacing w:line="576" w:lineRule="exact"/>
        <w:contextualSpacing/>
        <w:jc w:val="center"/>
        <w:textAlignment w:val="auto"/>
        <w:outlineLvl w:val="9"/>
        <w:rPr>
          <w:del w:id="37" w:author="user" w:date="2025-09-15T11:39:18Z"/>
          <w:rFonts w:hint="default" w:ascii="Times New Roman" w:hAnsi="Times New Roman" w:eastAsia="方正小标宋简体"/>
          <w:bCs/>
          <w:color w:val="auto"/>
          <w:sz w:val="44"/>
          <w:szCs w:val="44"/>
          <w:highlight w:val="none"/>
          <w:shd w:val="clear" w:color="auto" w:fill="FFFFFF"/>
          <w:lang w:val="en-US"/>
        </w:rPr>
      </w:pPr>
      <w:del w:id="38" w:author="user" w:date="2025-09-15T11:39:18Z">
        <w:r>
          <w:rPr>
            <w:rFonts w:hint="default" w:ascii="Times New Roman" w:hAnsi="Times New Roman" w:eastAsia="方正小标宋简体"/>
            <w:bCs/>
            <w:color w:val="auto"/>
            <w:sz w:val="44"/>
            <w:szCs w:val="44"/>
            <w:highlight w:val="none"/>
            <w:shd w:val="clear" w:color="auto" w:fill="FFFFFF"/>
            <w:lang w:val="en-US" w:eastAsia="zh-CN"/>
          </w:rPr>
          <w:delText>单位预算</w:delText>
        </w:r>
      </w:del>
      <w:del w:id="39" w:author="user" w:date="2025-09-15T11:39:18Z">
        <w:r>
          <w:rPr>
            <w:rFonts w:hint="default" w:ascii="Times New Roman" w:hAnsi="Times New Roman" w:eastAsia="方正小标宋简体"/>
            <w:bCs/>
            <w:color w:val="auto"/>
            <w:sz w:val="44"/>
            <w:szCs w:val="44"/>
            <w:highlight w:val="none"/>
            <w:shd w:val="clear" w:color="auto" w:fill="FFFFFF"/>
            <w:lang w:val="en-US"/>
          </w:rPr>
          <w:delText>绩效</w:delText>
        </w:r>
      </w:del>
      <w:del w:id="40" w:author="user" w:date="2025-09-15T11:39:18Z">
        <w:r>
          <w:rPr>
            <w:rFonts w:hint="default" w:ascii="Times New Roman" w:hAnsi="Times New Roman" w:eastAsia="方正小标宋简体"/>
            <w:bCs/>
            <w:color w:val="auto"/>
            <w:sz w:val="44"/>
            <w:szCs w:val="44"/>
            <w:highlight w:val="none"/>
            <w:shd w:val="clear" w:color="auto" w:fill="FFFFFF"/>
            <w:lang w:val="en-US" w:eastAsia="zh-CN"/>
          </w:rPr>
          <w:delText>评价</w:delText>
        </w:r>
      </w:del>
      <w:del w:id="41" w:author="user" w:date="2025-09-15T11:39:18Z">
        <w:r>
          <w:rPr>
            <w:rFonts w:hint="default" w:ascii="Times New Roman" w:hAnsi="Times New Roman" w:eastAsia="方正小标宋简体"/>
            <w:bCs/>
            <w:color w:val="auto"/>
            <w:sz w:val="44"/>
            <w:szCs w:val="44"/>
            <w:highlight w:val="none"/>
            <w:shd w:val="clear" w:color="auto" w:fill="FFFFFF"/>
            <w:lang w:val="en-US"/>
          </w:rPr>
          <w:delText>报告范本</w:delText>
        </w:r>
      </w:del>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center"/>
        <w:textAlignment w:val="auto"/>
        <w:outlineLvl w:val="9"/>
        <w:rPr>
          <w:del w:id="42" w:author="user" w:date="2025-09-15T11:39:18Z"/>
          <w:rFonts w:hint="default" w:ascii="Times New Roman" w:hAnsi="Times New Roman" w:eastAsia="黑体" w:cs="Times New Roman"/>
          <w:color w:val="000000"/>
          <w:kern w:val="0"/>
          <w:sz w:val="24"/>
          <w:szCs w:val="32"/>
          <w:highlight w:val="none"/>
          <w:shd w:val="clear" w:color="auto" w:fill="FFFFFF"/>
          <w:lang w:val="en-US"/>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43" w:author="user" w:date="2025-09-15T11:39:18Z"/>
          <w:rFonts w:hint="default" w:ascii="Times New Roman" w:hAnsi="Times New Roman" w:eastAsia="黑体" w:cs="Times New Roman"/>
          <w:color w:val="000000"/>
          <w:kern w:val="0"/>
          <w:sz w:val="32"/>
          <w:szCs w:val="32"/>
          <w:highlight w:val="none"/>
          <w:shd w:val="clear" w:color="auto" w:fill="FFFFFF"/>
          <w:lang w:val="en-US"/>
        </w:rPr>
      </w:pPr>
      <w:del w:id="44" w:author="user" w:date="2025-09-15T11:39:18Z">
        <w:r>
          <w:rPr>
            <w:rFonts w:hint="default" w:ascii="Times New Roman" w:hAnsi="Times New Roman" w:eastAsia="黑体" w:cs="Times New Roman"/>
            <w:color w:val="000000"/>
            <w:kern w:val="0"/>
            <w:sz w:val="32"/>
            <w:szCs w:val="32"/>
            <w:highlight w:val="none"/>
            <w:shd w:val="clear" w:color="auto" w:fill="FFFFFF"/>
            <w:lang w:val="en-US"/>
          </w:rPr>
          <w:delText>一、单位基本情况</w:delText>
        </w:r>
      </w:del>
    </w:p>
    <w:p>
      <w:pPr>
        <w:keepNext w:val="0"/>
        <w:keepLines w:val="0"/>
        <w:pageBreakBefore w:val="0"/>
        <w:widowControl/>
        <w:suppressAutoHyphens/>
        <w:kinsoku/>
        <w:wordWrap/>
        <w:overflowPunct/>
        <w:topLinePunct w:val="0"/>
        <w:autoSpaceDE/>
        <w:autoSpaceDN/>
        <w:bidi w:val="0"/>
        <w:adjustRightInd w:val="0"/>
        <w:snapToGrid w:val="0"/>
        <w:spacing w:line="576" w:lineRule="exact"/>
        <w:ind w:firstLine="642" w:firstLineChars="200"/>
        <w:contextualSpacing/>
        <w:jc w:val="both"/>
        <w:textAlignment w:val="auto"/>
        <w:rPr>
          <w:del w:id="45" w:author="user" w:date="2025-09-15T11:39:18Z"/>
          <w:rFonts w:hint="default" w:ascii="Times New Roman" w:hAnsi="Times New Roman" w:cs="Times New Roman"/>
          <w:szCs w:val="32"/>
          <w:lang w:val="en-US"/>
        </w:rPr>
      </w:pPr>
      <w:del w:id="46" w:author="user" w:date="2025-09-15T11:39:18Z">
        <w:r>
          <w:rPr>
            <w:rFonts w:hint="default" w:ascii="Times New Roman" w:hAnsi="Times New Roman" w:eastAsia="楷体_GB2312" w:cs="楷体_GB2312"/>
            <w:b/>
            <w:color w:val="auto"/>
            <w:sz w:val="32"/>
            <w:szCs w:val="32"/>
            <w:highlight w:val="none"/>
            <w:lang w:val="en-US"/>
          </w:rPr>
          <w:delText>（一）机构组成。</w:delText>
        </w:r>
      </w:del>
      <w:del w:id="47" w:author="user" w:date="2025-09-15T11:39:18Z">
        <w:r>
          <w:rPr>
            <w:rFonts w:hint="default" w:ascii="Times New Roman" w:hAnsi="Times New Roman" w:eastAsia="仿宋_GB2312" w:cs="仿宋_GB2312"/>
            <w:color w:val="auto"/>
            <w:kern w:val="2"/>
            <w:sz w:val="32"/>
            <w:szCs w:val="32"/>
            <w:highlight w:val="none"/>
            <w:lang w:val="en-US" w:eastAsia="zh-CN" w:bidi="ar-SA"/>
          </w:rPr>
          <w:delText>攀枝花市档案馆为市委直属事业单位，由市委办代管，有办公室、档案征集整理科、档案保管利用科、档案编研科、信息技术科、档案接收科、档案宣教科、组织人事科8个内设科室。</w:delText>
        </w:r>
      </w:del>
    </w:p>
    <w:p>
      <w:pPr>
        <w:keepNext w:val="0"/>
        <w:keepLines w:val="0"/>
        <w:pageBreakBefore w:val="0"/>
        <w:widowControl w:val="0"/>
        <w:suppressAutoHyphens/>
        <w:kinsoku/>
        <w:wordWrap/>
        <w:overflowPunct/>
        <w:topLinePunct w:val="0"/>
        <w:autoSpaceDE/>
        <w:autoSpaceDN/>
        <w:bidi w:val="0"/>
        <w:adjustRightInd/>
        <w:snapToGrid w:val="0"/>
        <w:spacing w:line="576" w:lineRule="exact"/>
        <w:ind w:firstLine="642" w:firstLineChars="200"/>
        <w:jc w:val="both"/>
        <w:textAlignment w:val="auto"/>
        <w:rPr>
          <w:del w:id="48" w:author="user" w:date="2025-09-15T11:39:18Z"/>
          <w:rFonts w:hint="default" w:ascii="Times New Roman" w:hAnsi="Times New Roman" w:eastAsia="仿宋_GB2312" w:cs="仿宋_GB2312"/>
          <w:color w:val="auto"/>
          <w:kern w:val="2"/>
          <w:sz w:val="32"/>
          <w:szCs w:val="32"/>
          <w:highlight w:val="none"/>
          <w:lang w:val="en-US" w:eastAsia="zh-CN" w:bidi="ar-SA"/>
        </w:rPr>
      </w:pPr>
      <w:del w:id="49" w:author="user" w:date="2025-09-15T11:39:18Z">
        <w:r>
          <w:rPr>
            <w:rFonts w:hint="default" w:ascii="Times New Roman" w:hAnsi="Times New Roman" w:eastAsia="楷体_GB2312" w:cs="楷体_GB2312"/>
            <w:b/>
            <w:color w:val="auto"/>
            <w:sz w:val="32"/>
            <w:szCs w:val="32"/>
            <w:highlight w:val="none"/>
            <w:lang w:val="en-US"/>
          </w:rPr>
          <w:delText>（二）机构职能。</w:delText>
        </w:r>
      </w:del>
      <w:del w:id="50" w:author="user" w:date="2025-09-15T11:39:18Z">
        <w:r>
          <w:rPr>
            <w:rFonts w:hint="default" w:ascii="Times New Roman" w:hAnsi="Times New Roman" w:eastAsia="仿宋_GB2312" w:cs="仿宋_GB2312"/>
            <w:color w:val="auto"/>
            <w:kern w:val="2"/>
            <w:sz w:val="32"/>
            <w:szCs w:val="32"/>
            <w:highlight w:val="none"/>
            <w:lang w:val="en-US" w:eastAsia="zh-CN" w:bidi="ar-SA"/>
          </w:rPr>
          <w:delText>根据事业单位法人证书宗旨和业务范围的登记，攀枝花市档案馆（以下简称市档案馆）的职能有：收集保存提供利用档案资料，促进社会经济文化科学发展；（档案、资料）收集、整理、保管、鉴定；档案资料信息资源的开发利用；档案资料网络系统（设计、施工、维护、管理）；档案资料数字化处理；档案资料编纂；档案学研究；知识培训与社会教育。</w:delText>
        </w:r>
      </w:del>
    </w:p>
    <w:p>
      <w:pPr>
        <w:keepNext w:val="0"/>
        <w:keepLines w:val="0"/>
        <w:pageBreakBefore w:val="0"/>
        <w:widowControl w:val="0"/>
        <w:suppressAutoHyphens/>
        <w:kinsoku/>
        <w:wordWrap/>
        <w:overflowPunct/>
        <w:topLinePunct w:val="0"/>
        <w:autoSpaceDE/>
        <w:autoSpaceDN/>
        <w:bidi w:val="0"/>
        <w:adjustRightInd/>
        <w:snapToGrid/>
        <w:spacing w:line="576" w:lineRule="exact"/>
        <w:ind w:firstLine="642" w:firstLineChars="200"/>
        <w:textAlignment w:val="auto"/>
        <w:rPr>
          <w:del w:id="51" w:author="user" w:date="2025-09-15T11:39:18Z"/>
          <w:rFonts w:hint="default" w:ascii="Times New Roman" w:hAnsi="Times New Roman" w:eastAsia="仿宋_GB2312" w:cs="仿宋_GB2312"/>
          <w:color w:val="auto"/>
          <w:kern w:val="2"/>
          <w:sz w:val="32"/>
          <w:szCs w:val="32"/>
          <w:highlight w:val="none"/>
          <w:lang w:val="en-US" w:eastAsia="zh-CN" w:bidi="ar-SA"/>
        </w:rPr>
      </w:pPr>
      <w:del w:id="52" w:author="user" w:date="2025-09-15T11:39:18Z">
        <w:r>
          <w:rPr>
            <w:rFonts w:hint="default" w:ascii="Times New Roman" w:hAnsi="Times New Roman" w:eastAsia="楷体_GB2312" w:cs="Times New Roman"/>
            <w:b/>
            <w:bCs/>
            <w:color w:val="000000"/>
            <w:kern w:val="0"/>
            <w:sz w:val="32"/>
            <w:szCs w:val="32"/>
            <w:highlight w:val="none"/>
            <w:shd w:val="clear" w:color="auto" w:fill="FFFFFF"/>
            <w:lang w:val="en-US"/>
          </w:rPr>
          <w:delText>（三）人员概况。</w:delText>
        </w:r>
      </w:del>
      <w:del w:id="53" w:author="user" w:date="2025-09-15T11:39:18Z">
        <w:r>
          <w:rPr>
            <w:rFonts w:hint="default" w:ascii="Times New Roman" w:hAnsi="Times New Roman" w:eastAsia="仿宋_GB2312" w:cs="仿宋_GB2312"/>
            <w:color w:val="auto"/>
            <w:kern w:val="2"/>
            <w:sz w:val="32"/>
            <w:szCs w:val="32"/>
            <w:highlight w:val="none"/>
            <w:lang w:val="en-US" w:eastAsia="zh-CN" w:bidi="ar-SA"/>
          </w:rPr>
          <w:delText>截至2024年末，市档案馆在职人员24人（包含工勤编制1人），退休人员30人。</w:delText>
        </w:r>
      </w:del>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54" w:author="user" w:date="2025-09-15T11:39:18Z"/>
          <w:rFonts w:hint="default" w:ascii="Times New Roman" w:hAnsi="Times New Roman" w:eastAsia="黑体" w:cs="Times New Roman"/>
          <w:color w:val="000000"/>
          <w:kern w:val="0"/>
          <w:sz w:val="32"/>
          <w:szCs w:val="32"/>
          <w:highlight w:val="none"/>
          <w:shd w:val="clear" w:color="auto" w:fill="FFFFFF"/>
          <w:lang w:val="en-US" w:eastAsia="zh-CN"/>
        </w:rPr>
      </w:pPr>
      <w:del w:id="55" w:author="user" w:date="2025-09-15T11:39:18Z">
        <w:r>
          <w:rPr>
            <w:rFonts w:hint="default" w:ascii="Times New Roman" w:hAnsi="Times New Roman" w:eastAsia="黑体" w:cs="Times New Roman"/>
            <w:color w:val="000000"/>
            <w:kern w:val="0"/>
            <w:sz w:val="32"/>
            <w:szCs w:val="32"/>
            <w:highlight w:val="none"/>
            <w:shd w:val="clear" w:color="auto" w:fill="FFFFFF"/>
            <w:lang w:val="en-US" w:eastAsia="zh-CN"/>
          </w:rPr>
          <w:delText>二、部门资金收支情况</w:delText>
        </w:r>
      </w:del>
    </w:p>
    <w:p>
      <w:pPr>
        <w:keepNext w:val="0"/>
        <w:keepLines w:val="0"/>
        <w:pageBreakBefore w:val="0"/>
        <w:widowControl/>
        <w:suppressLineNumbers w:val="0"/>
        <w:suppressAutoHyphens w:val="0"/>
        <w:kinsoku/>
        <w:wordWrap/>
        <w:overflowPunct/>
        <w:topLinePunct w:val="0"/>
        <w:autoSpaceDE/>
        <w:autoSpaceDN/>
        <w:bidi w:val="0"/>
        <w:adjustRightInd w:val="0"/>
        <w:snapToGrid w:val="0"/>
        <w:spacing w:line="576" w:lineRule="exact"/>
        <w:ind w:firstLine="642" w:firstLineChars="200"/>
        <w:contextualSpacing/>
        <w:jc w:val="both"/>
        <w:textAlignment w:val="auto"/>
        <w:rPr>
          <w:del w:id="56" w:author="user" w:date="2025-09-15T11:39:18Z"/>
          <w:rFonts w:hint="default" w:ascii="Times New Roman" w:hAnsi="Times New Roman" w:eastAsia="仿宋_GB2312" w:cs="仿宋_GB2312"/>
          <w:color w:val="auto"/>
          <w:kern w:val="2"/>
          <w:sz w:val="32"/>
          <w:szCs w:val="32"/>
          <w:highlight w:val="none"/>
          <w:lang w:val="en-US" w:eastAsia="zh-CN" w:bidi="ar-SA"/>
        </w:rPr>
      </w:pPr>
      <w:del w:id="57" w:author="user" w:date="2025-09-15T11:39:18Z">
        <w:r>
          <w:rPr>
            <w:rFonts w:hint="default" w:ascii="Times New Roman" w:hAnsi="Times New Roman" w:eastAsia="楷体_GB2312" w:cs="Times New Roman"/>
            <w:b/>
            <w:bCs/>
            <w:color w:val="000000"/>
            <w:kern w:val="0"/>
            <w:sz w:val="32"/>
            <w:szCs w:val="32"/>
            <w:highlight w:val="none"/>
            <w:shd w:val="clear" w:color="auto" w:fill="FFFFFF"/>
            <w:lang w:val="en-US"/>
          </w:rPr>
          <w:delText>（一）收入情况。</w:delText>
        </w:r>
      </w:del>
      <w:del w:id="58" w:author="user" w:date="2025-09-15T11:39:18Z">
        <w:r>
          <w:rPr>
            <w:rFonts w:hint="default" w:ascii="Times New Roman" w:hAnsi="Times New Roman" w:eastAsia="仿宋_GB2312" w:cs="仿宋_GB2312"/>
            <w:color w:val="auto"/>
            <w:kern w:val="2"/>
            <w:sz w:val="32"/>
            <w:szCs w:val="32"/>
            <w:highlight w:val="none"/>
            <w:lang w:val="en-US" w:eastAsia="zh-CN" w:bidi="ar-SA"/>
          </w:rPr>
          <w:delText>2024年，攀枝花市档案馆全年预算收入816.29万元，其中，年初预算安排802.34万元，全年预算调整13.95万元。调整后全年预算收入情况如下：一般公共服务支出506.88万元，社会保障和就业支出155.45万元，卫生健康支出37.02万元；城乡社区支出10万元，住房保障支出44.93万元。</w:delText>
        </w:r>
      </w:del>
    </w:p>
    <w:p>
      <w:pPr>
        <w:keepNext w:val="0"/>
        <w:keepLines w:val="0"/>
        <w:pageBreakBefore w:val="0"/>
        <w:widowControl/>
        <w:suppressAutoHyphens/>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del w:id="59" w:author="user" w:date="2025-09-15T11:39:18Z"/>
          <w:rFonts w:hint="default" w:ascii="Times New Roman" w:hAnsi="Times New Roman" w:eastAsia="仿宋_GB2312" w:cs="仿宋_GB2312"/>
          <w:color w:val="auto"/>
          <w:kern w:val="2"/>
          <w:sz w:val="32"/>
          <w:szCs w:val="32"/>
          <w:highlight w:val="none"/>
          <w:lang w:val="en-US" w:eastAsia="zh-CN" w:bidi="ar-SA"/>
        </w:rPr>
      </w:pPr>
      <w:del w:id="60" w:author="user" w:date="2025-09-15T11:39:18Z">
        <w:r>
          <w:rPr>
            <w:rFonts w:hint="default" w:ascii="Times New Roman" w:hAnsi="Times New Roman" w:eastAsia="楷体_GB2312" w:cs="Times New Roman"/>
            <w:b/>
            <w:bCs/>
            <w:color w:val="000000"/>
            <w:kern w:val="0"/>
            <w:sz w:val="32"/>
            <w:szCs w:val="32"/>
            <w:highlight w:val="none"/>
            <w:shd w:val="clear" w:color="auto" w:fill="FFFFFF"/>
            <w:lang w:val="en-US"/>
          </w:rPr>
          <w:delText>（二）支出情况。</w:delText>
        </w:r>
      </w:del>
      <w:del w:id="61" w:author="user" w:date="2025-09-15T11:39:18Z">
        <w:r>
          <w:rPr>
            <w:rFonts w:hint="default" w:ascii="Times New Roman" w:hAnsi="Times New Roman" w:eastAsia="仿宋_GB2312" w:cs="仿宋_GB2312"/>
            <w:color w:val="auto"/>
            <w:kern w:val="2"/>
            <w:sz w:val="32"/>
            <w:szCs w:val="32"/>
            <w:highlight w:val="none"/>
            <w:lang w:val="en-US" w:eastAsia="zh-CN" w:bidi="ar-SA"/>
          </w:rPr>
          <w:delText>2024年，攀枝花市档案馆全年预算总支出816.29万元，其中，基本支出689.15万元，项目支出127.14万元。基本支出包含：档案事务452.45万元、行政事业单位养老支出155.45万元、行政事业单位医疗36.31万元、住房改革支出44.93万元。项目支出为档案事务支出115.98万元，其他组织事务0.45万元、其他卫生健康支出0.71万元、土地开发支出10万元。</w:delText>
        </w:r>
      </w:del>
    </w:p>
    <w:p>
      <w:pPr>
        <w:keepNext w:val="0"/>
        <w:keepLines w:val="0"/>
        <w:pageBreakBefore w:val="0"/>
        <w:widowControl/>
        <w:suppressAutoHyphens/>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del w:id="62" w:author="user" w:date="2025-09-15T11:39:18Z"/>
          <w:rFonts w:hint="default" w:ascii="Times New Roman" w:hAnsi="Times New Roman" w:eastAsia="仿宋_GB2312" w:cs="仿宋_GB2312"/>
          <w:color w:val="auto"/>
          <w:kern w:val="2"/>
          <w:sz w:val="32"/>
          <w:szCs w:val="32"/>
          <w:highlight w:val="none"/>
          <w:lang w:val="en-US" w:eastAsia="zh-CN" w:bidi="ar-SA"/>
        </w:rPr>
      </w:pPr>
      <w:del w:id="63" w:author="user" w:date="2025-09-15T11:39:18Z">
        <w:r>
          <w:rPr>
            <w:rFonts w:hint="default" w:ascii="Times New Roman" w:hAnsi="Times New Roman" w:eastAsia="楷体_GB2312" w:cs="Times New Roman"/>
            <w:b/>
            <w:bCs/>
            <w:color w:val="000000"/>
            <w:kern w:val="0"/>
            <w:sz w:val="32"/>
            <w:szCs w:val="32"/>
            <w:highlight w:val="none"/>
            <w:shd w:val="clear" w:color="auto" w:fill="FFFFFF"/>
            <w:lang w:val="en-US"/>
          </w:rPr>
          <w:delText>（三）结余分配和结转结余情况</w:delText>
        </w:r>
      </w:del>
      <w:del w:id="64" w:author="user" w:date="2025-09-15T11:39:18Z">
        <w:r>
          <w:rPr>
            <w:rFonts w:hint="default" w:ascii="Times New Roman" w:hAnsi="Times New Roman" w:eastAsia="楷体_GB2312" w:cs="Times New Roman"/>
            <w:b/>
            <w:bCs/>
            <w:color w:val="000000"/>
            <w:kern w:val="0"/>
            <w:sz w:val="32"/>
            <w:szCs w:val="32"/>
            <w:highlight w:val="none"/>
            <w:shd w:val="clear" w:color="auto" w:fill="FFFFFF"/>
            <w:lang w:val="en-US" w:eastAsia="zh-CN"/>
          </w:rPr>
          <w:delText>。</w:delText>
        </w:r>
      </w:del>
      <w:del w:id="65" w:author="user" w:date="2025-09-15T11:39:18Z">
        <w:r>
          <w:rPr>
            <w:rFonts w:hint="default" w:ascii="Times New Roman" w:hAnsi="Times New Roman" w:eastAsia="仿宋_GB2312" w:cs="仿宋_GB2312"/>
            <w:color w:val="auto"/>
            <w:kern w:val="2"/>
            <w:sz w:val="32"/>
            <w:szCs w:val="32"/>
            <w:highlight w:val="none"/>
            <w:lang w:val="en-US" w:eastAsia="zh-CN" w:bidi="ar-SA"/>
          </w:rPr>
          <w:delText>攀枝花市档案馆2024年无结转结余情况。</w:delText>
        </w:r>
      </w:del>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66" w:author="user" w:date="2025-09-15T11:39:18Z"/>
          <w:rFonts w:hint="default" w:ascii="Times New Roman" w:hAnsi="Times New Roman" w:eastAsia="黑体" w:cs="Times New Roman"/>
          <w:color w:val="000000"/>
          <w:kern w:val="0"/>
          <w:sz w:val="32"/>
          <w:szCs w:val="32"/>
          <w:highlight w:val="none"/>
          <w:shd w:val="clear" w:color="auto" w:fill="FFFFFF"/>
          <w:lang w:val="en-US" w:eastAsia="zh-CN"/>
        </w:rPr>
      </w:pPr>
      <w:del w:id="67" w:author="user" w:date="2025-09-15T11:39:18Z">
        <w:r>
          <w:rPr>
            <w:rFonts w:hint="default" w:ascii="Times New Roman" w:hAnsi="Times New Roman" w:eastAsia="黑体" w:cs="Times New Roman"/>
            <w:color w:val="000000"/>
            <w:kern w:val="0"/>
            <w:sz w:val="32"/>
            <w:szCs w:val="32"/>
            <w:highlight w:val="none"/>
            <w:shd w:val="clear" w:color="auto" w:fill="FFFFFF"/>
            <w:lang w:val="en-US" w:eastAsia="zh-CN"/>
          </w:rPr>
          <w:delText>三、部门预算绩效分析</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del w:id="68" w:author="user" w:date="2025-09-15T11:39:18Z"/>
          <w:rFonts w:hint="default" w:ascii="Times New Roman" w:hAnsi="Times New Roman" w:eastAsia="仿宋_GB2312" w:cs="仿宋_GB2312"/>
          <w:color w:val="auto"/>
          <w:kern w:val="2"/>
          <w:sz w:val="32"/>
          <w:szCs w:val="32"/>
          <w:highlight w:val="none"/>
          <w:lang w:val="en-US" w:eastAsia="zh-CN" w:bidi="ar-SA"/>
        </w:rPr>
      </w:pPr>
      <w:del w:id="69" w:author="user" w:date="2025-09-15T11:39:18Z">
        <w:r>
          <w:rPr>
            <w:rFonts w:hint="default" w:ascii="Times New Roman" w:hAnsi="Times New Roman" w:eastAsia="楷体_GB2312" w:cs="Times New Roman"/>
            <w:b/>
            <w:bCs/>
            <w:color w:val="000000"/>
            <w:kern w:val="0"/>
            <w:sz w:val="32"/>
            <w:szCs w:val="32"/>
            <w:highlight w:val="none"/>
            <w:shd w:val="clear" w:color="auto" w:fill="FFFFFF"/>
            <w:lang w:val="en-US"/>
          </w:rPr>
          <w:delText>（一）部门预算总体绩效分析。</w:delText>
        </w:r>
      </w:del>
      <w:del w:id="70" w:author="user" w:date="2025-09-15T11:39:18Z">
        <w:r>
          <w:rPr>
            <w:rFonts w:hint="default" w:ascii="Times New Roman" w:hAnsi="Times New Roman" w:eastAsia="仿宋_GB2312" w:cs="仿宋_GB2312"/>
            <w:color w:val="auto"/>
            <w:kern w:val="2"/>
            <w:sz w:val="32"/>
            <w:szCs w:val="32"/>
            <w:highlight w:val="none"/>
            <w:lang w:val="en-US" w:eastAsia="zh-CN" w:bidi="ar-SA"/>
          </w:rPr>
          <w:delText>根据部门预算绩效评价指标体系“总体绩效”涉及二、三级指标进行逐项绩效分析并评分，依次包括履职效能、预算管理、财务管理、资产管理、采购管理等情况。</w:delText>
        </w:r>
      </w:del>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del w:id="71" w:author="user" w:date="2025-09-15T11:39:18Z"/>
          <w:rFonts w:hint="default" w:ascii="仿宋_GB2312" w:hAnsi="仿宋_GB2312" w:eastAsia="仿宋_GB2312" w:cs="仿宋_GB2312"/>
          <w:b w:val="0"/>
          <w:bCs w:val="0"/>
          <w:caps w:val="0"/>
          <w:snapToGrid/>
          <w:color w:val="auto"/>
          <w:kern w:val="0"/>
          <w:sz w:val="33"/>
          <w:szCs w:val="33"/>
          <w:vertAlign w:val="baseline"/>
          <w:lang w:val="en-US" w:eastAsia="zh-CN" w:bidi="ar"/>
        </w:rPr>
      </w:pPr>
      <w:del w:id="72" w:author="user" w:date="2025-09-15T11:39:18Z">
        <w:r>
          <w:rPr>
            <w:rFonts w:hint="default" w:ascii="Times New Roman" w:hAnsi="Times New Roman" w:eastAsia="仿宋_GB2312" w:cs="仿宋_GB2312"/>
            <w:color w:val="auto"/>
            <w:kern w:val="2"/>
            <w:sz w:val="32"/>
            <w:szCs w:val="32"/>
            <w:highlight w:val="none"/>
            <w:lang w:val="en-US" w:eastAsia="zh-CN" w:bidi="ar-SA"/>
          </w:rPr>
          <w:delText>1.履职效能。2024年市档案馆积极谋划落实档案业务工作服务中心大局，做好档案基础业务如档案指导、档案接收、档案利用、档案征集等工作。各项目基本实现既定目标，保障市档案馆业务工作正常开展，推动数字档案馆建设进程，优化馆库存储安全条件，推进清偿中小企业欠款工作等。</w:delText>
        </w:r>
      </w:del>
      <w:del w:id="73" w:author="user" w:date="2025-09-15T11:39:18Z">
        <w:r>
          <w:rPr>
            <w:rFonts w:hint="default" w:ascii="仿宋_GB2312" w:hAnsi="仿宋_GB2312" w:eastAsia="仿宋_GB2312" w:cs="仿宋_GB2312"/>
            <w:color w:val="auto"/>
            <w:kern w:val="2"/>
            <w:sz w:val="32"/>
            <w:szCs w:val="32"/>
            <w:highlight w:val="none"/>
            <w:lang w:val="en-US" w:eastAsia="zh-CN" w:bidi="ar-SA"/>
          </w:rPr>
          <w:delText>2024年，</w:delText>
        </w:r>
      </w:del>
      <w:del w:id="74" w:author="user" w:date="2025-09-15T11:39:18Z">
        <w:r>
          <w:rPr>
            <w:rFonts w:hint="default" w:ascii="仿宋_GB2312" w:hAnsi="仿宋_GB2312" w:eastAsia="仿宋_GB2312" w:cs="仿宋_GB2312"/>
            <w:b w:val="0"/>
            <w:bCs w:val="0"/>
            <w:caps w:val="0"/>
            <w:snapToGrid/>
            <w:color w:val="auto"/>
            <w:kern w:val="0"/>
            <w:sz w:val="33"/>
            <w:szCs w:val="33"/>
            <w:vertAlign w:val="baseline"/>
            <w:lang w:val="en-US" w:eastAsia="zh-CN" w:bidi="ar"/>
          </w:rPr>
          <w:delText>积极配合开展档案行政执法检查三年行动“回头看”，对档案管理问题较为突出、涉及机构改革、承担重要工作或项目的13家单位开展档案行政执法检查，以问题整改倒逼责任落实，推动机关、企事业单位档案法治建设高质量发展。联合攀枝花学院档案馆、市人力资源社会保障局等部门联动开展档案宣传进机关、进校园、进社区活动，分发宣传册3000余份、开展法治讲座6次、送出档案文创小礼品300余件。指导全市72家一级机关单位按期完成档案“三合一”制度落实，启动32家市级单位档案到期移交“三年计划”，为市金融工作局、市乡村振兴局等5家涉改单位做细档案移交进馆服务，全年接收7家单位文书档案1600卷、3.1万件。2024年，征集到“2023中国钒钛论坛”、“攀枝花高质量发展建设共同富裕试验区启动大会”及攀枝花康养发展有关文书档案24件；反映三线建设历史实物档案7件；反映我市二滩建设和移民搬迁、城市乡村风貌变迁、产业发展等各类照片档案580余件，其他各类图书资料20册。全年完成常隆庆档案、市妇联、市乡镇企业局（已撤销单位）共12000余件档案初审；完成市科协、市文联5559件档案开放审核，向社会开放2724件档案。结合党委政府中心工作，编纂资政信息，配合省档案馆编研处编纂关于三线建设的档案资政信息《回顾大三线 解码攀枝花》，档案资政作用不断凸显。全年共接待查档群众1757人次，调阅档案61105卷（件），免费复印10435页，同比查档人数增加15%、调阅档案量增长77%，累计为民办理档案实事824件，群众查档获得感、满意度显著提升。</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75" w:author="user" w:date="2025-09-15T11:39:18Z"/>
          <w:rFonts w:hint="default" w:ascii="Times New Roman" w:hAnsi="Times New Roman" w:eastAsia="仿宋_GB2312" w:cs="仿宋_GB2312"/>
          <w:color w:val="auto"/>
          <w:kern w:val="2"/>
          <w:sz w:val="32"/>
          <w:szCs w:val="32"/>
          <w:highlight w:val="none"/>
          <w:lang w:val="en-US" w:eastAsia="zh-CN" w:bidi="ar-SA"/>
        </w:rPr>
      </w:pPr>
      <w:del w:id="76" w:author="user" w:date="2025-09-15T11:39:18Z">
        <w:r>
          <w:rPr>
            <w:rFonts w:hint="default" w:ascii="Times New Roman" w:hAnsi="Times New Roman" w:eastAsia="仿宋_GB2312" w:cs="仿宋_GB2312"/>
            <w:color w:val="auto"/>
            <w:kern w:val="2"/>
            <w:sz w:val="32"/>
            <w:szCs w:val="32"/>
            <w:highlight w:val="none"/>
            <w:lang w:val="en-US" w:eastAsia="zh-CN" w:bidi="ar-SA"/>
          </w:rPr>
          <w:delText>2.预算管理。2024年度，市档案馆预算数与年终决算数保持一致，资金支付进度基本符合全年预算资金安排分配进度，年终无预算资金结余。全年做到及时准确核算发放在职24名职工、退休30名职工人员工资、五险一金等支出，保障职工权益共支出人员经费617.11万元；按照厉行节约原则，严格控制“三公经费”支出，强化支出及项目绩效管理，保证机关正常运转，合理安排行政办公经费，做到厉行节约，不铺张、不浪费，并实现以前年度办公欠款支出，共计支出日常办公经费72.03万元。</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77" w:author="user" w:date="2025-09-15T11:39:18Z"/>
          <w:rFonts w:hint="default" w:ascii="Times New Roman" w:hAnsi="Times New Roman" w:eastAsia="仿宋_GB2312" w:cs="仿宋_GB2312"/>
          <w:color w:val="auto"/>
          <w:kern w:val="2"/>
          <w:sz w:val="32"/>
          <w:szCs w:val="32"/>
          <w:highlight w:val="none"/>
          <w:lang w:val="en-US" w:eastAsia="zh-CN" w:bidi="ar-SA"/>
        </w:rPr>
      </w:pPr>
      <w:del w:id="78" w:author="user" w:date="2025-09-15T11:39:18Z">
        <w:r>
          <w:rPr>
            <w:rFonts w:hint="default" w:ascii="Times New Roman" w:hAnsi="Times New Roman" w:eastAsia="仿宋_GB2312" w:cs="仿宋_GB2312"/>
            <w:color w:val="auto"/>
            <w:kern w:val="2"/>
            <w:sz w:val="32"/>
            <w:szCs w:val="32"/>
            <w:highlight w:val="none"/>
            <w:lang w:val="en-US" w:eastAsia="zh-CN" w:bidi="ar-SA"/>
          </w:rPr>
          <w:delText>3.财务管理。市档案馆严格按照中央、省、市相关规定，细化财务相关管理办法，包括《攀枝花市档案馆财务审批及报销制度》《攀枝花市档案馆非政府采购管理办法》《攀枝花市档案馆公务接待管理细则》攀枝花市档案馆公务用车管理办法》《攀枝花市档案馆会议管理实施办法》等，同时将预算、决算、支出、绩效等财务管理关键环节纳入单位内控管理。严格执行关键岗位分离的办事、审批制度规范审批流程，按照国家《会计法》《会计基础工作规范》《行政事业单位内部控制规范》《政府会计准则》有关规定执行，无单独财务单位，财务管理工作隶属办公室，财务负责人1人、会计1人、出纳1人，</w:delText>
        </w:r>
      </w:del>
      <w:del w:id="79" w:author="user" w:date="2025-09-15T11:39:18Z">
        <w:r>
          <w:rPr>
            <w:rFonts w:hint="default" w:eastAsia="仿宋_GB2312" w:cs="仿宋_GB2312"/>
            <w:color w:val="auto"/>
            <w:kern w:val="2"/>
            <w:sz w:val="32"/>
            <w:szCs w:val="32"/>
            <w:highlight w:val="none"/>
            <w:lang w:val="en-US" w:eastAsia="zh-CN" w:bidi="ar-SA"/>
          </w:rPr>
          <w:delText>财</w:delText>
        </w:r>
      </w:del>
      <w:del w:id="80" w:author="user" w:date="2025-09-15T11:39:18Z">
        <w:r>
          <w:rPr>
            <w:rFonts w:hint="default" w:ascii="Times New Roman" w:hAnsi="Times New Roman" w:eastAsia="仿宋_GB2312" w:cs="仿宋_GB2312"/>
            <w:color w:val="auto"/>
            <w:kern w:val="2"/>
            <w:sz w:val="32"/>
            <w:szCs w:val="32"/>
            <w:highlight w:val="none"/>
            <w:lang w:val="en-US" w:eastAsia="zh-CN" w:bidi="ar-SA"/>
          </w:rPr>
          <w:delText>务工作由副馆长分管，明确了职责权限，确保市档案馆资金使用规范、有效。2024年度资金支出符合单位预算批复的支出范围，未发现资金挤占、截留、挪用及虚列支出等情况，资金使用合规，财务制度执行有效。</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81" w:author="user" w:date="2025-09-15T11:39:18Z"/>
          <w:rFonts w:hint="default" w:ascii="Times New Roman" w:hAnsi="Times New Roman" w:eastAsia="仿宋_GB2312" w:cs="仿宋_GB2312"/>
          <w:color w:val="auto"/>
          <w:kern w:val="2"/>
          <w:sz w:val="32"/>
          <w:szCs w:val="32"/>
          <w:highlight w:val="none"/>
          <w:lang w:val="en-US" w:eastAsia="en-US" w:bidi="ar-SA"/>
        </w:rPr>
      </w:pPr>
      <w:del w:id="82" w:author="user" w:date="2025-09-15T11:39:18Z">
        <w:r>
          <w:rPr>
            <w:rFonts w:hint="default" w:ascii="Times New Roman" w:hAnsi="Times New Roman" w:eastAsia="仿宋_GB2312" w:cs="仿宋_GB2312"/>
            <w:color w:val="auto"/>
            <w:kern w:val="2"/>
            <w:sz w:val="32"/>
            <w:szCs w:val="32"/>
            <w:highlight w:val="none"/>
            <w:lang w:val="en-US" w:eastAsia="zh-CN" w:bidi="ar-SA"/>
          </w:rPr>
          <w:delText>4.资产管理。市档案馆严格资产使用、购置、处置审批程序，建立完善资产管理制度，明确资产业务控制范围及控制目标，设置不相容岗位职能职责，梳理资产管理业务流程与关键环节，进一步合理使用资产，严格监管资产配置，保证国有资产安全完整，不断提高资产运行效率。严格按照相关会计规范计提国有资产折旧，行政事业性国有资产及时纳入了四川省行政事业单位资产管理信息系统进行动态管理，不存在国有资产出租出借、对外投资等情况，单位资产盘活情况较好。总的来说，2024年较上年资产净值增加6.39%，主要为增加数字档案馆建设所购存储设备，国产化替代设备等，资产利用率较高。</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83" w:author="user" w:date="2025-09-15T11:39:18Z"/>
          <w:rFonts w:hint="default" w:ascii="Times New Roman" w:hAnsi="Times New Roman" w:eastAsia="仿宋_GB2312" w:cs="仿宋_GB2312"/>
          <w:color w:val="auto"/>
          <w:kern w:val="2"/>
          <w:sz w:val="32"/>
          <w:szCs w:val="32"/>
          <w:highlight w:val="none"/>
          <w:lang w:val="en-US" w:eastAsia="zh-CN" w:bidi="ar-SA"/>
        </w:rPr>
      </w:pPr>
      <w:del w:id="84" w:author="user" w:date="2025-09-15T11:39:18Z">
        <w:r>
          <w:rPr>
            <w:rFonts w:hint="default" w:ascii="Times New Roman" w:hAnsi="Times New Roman" w:eastAsia="仿宋_GB2312" w:cs="仿宋_GB2312"/>
            <w:color w:val="auto"/>
            <w:kern w:val="2"/>
            <w:sz w:val="32"/>
            <w:szCs w:val="32"/>
            <w:highlight w:val="none"/>
            <w:lang w:val="en-US" w:eastAsia="zh-CN" w:bidi="ar-SA"/>
          </w:rPr>
          <w:delText>5.采购管理。市档案馆采购管理严格按照采购管理相关规定执行，对涉及到集中采购目录中的采购品目严格实行采购程序，对未达到集中采购程序的零星采购也均按照《攀枝花市档案馆采购管理制度》《攀枝花市档案馆非政府采购管理办法》执行，严格审核、规范开展。市档案馆2024年共计支付政府采购、政府购买服务3.35万元，其中2.89万元政府购买服务为面向中小企业采购。</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del w:id="85" w:author="user" w:date="2025-09-15T11:39:18Z"/>
          <w:rFonts w:hint="default" w:ascii="Times New Roman" w:hAnsi="Times New Roman" w:eastAsia="仿宋_GB2312" w:cs="仿宋_GB2312"/>
          <w:color w:val="auto"/>
          <w:kern w:val="2"/>
          <w:sz w:val="32"/>
          <w:szCs w:val="32"/>
          <w:highlight w:val="none"/>
          <w:lang w:val="en-US" w:eastAsia="zh-CN" w:bidi="ar-SA"/>
        </w:rPr>
      </w:pPr>
      <w:del w:id="86" w:author="user" w:date="2025-09-15T11:39:18Z">
        <w:r>
          <w:rPr>
            <w:rFonts w:hint="default" w:ascii="Times New Roman" w:hAnsi="Times New Roman" w:eastAsia="楷体_GB2312" w:cs="Times New Roman"/>
            <w:b/>
            <w:bCs/>
            <w:color w:val="000000"/>
            <w:kern w:val="0"/>
            <w:sz w:val="32"/>
            <w:szCs w:val="32"/>
            <w:highlight w:val="none"/>
            <w:shd w:val="clear" w:color="auto" w:fill="FFFFFF"/>
            <w:lang w:val="en-US"/>
          </w:rPr>
          <w:delText>（二）部门预算项目绩效分析。</w:delText>
        </w:r>
      </w:del>
      <w:del w:id="87" w:author="user" w:date="2025-09-15T11:39:18Z">
        <w:r>
          <w:rPr>
            <w:rFonts w:hint="default" w:ascii="Times New Roman" w:hAnsi="Times New Roman" w:eastAsia="仿宋_GB2312" w:cs="仿宋_GB2312"/>
            <w:color w:val="auto"/>
            <w:kern w:val="2"/>
            <w:sz w:val="32"/>
            <w:szCs w:val="32"/>
            <w:highlight w:val="none"/>
            <w:lang w:val="en-US" w:eastAsia="zh-CN" w:bidi="ar-SA"/>
          </w:rPr>
          <w:delText>填报以下数据，并根据部门预算绩效评价指标体系“项目绩效”涉及二、三级指标进行逐项绩效分析并评分，依次包括项目决策、项目执行、目标实现等情况。</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88" w:author="user" w:date="2025-09-15T11:39:18Z"/>
          <w:rFonts w:hint="default" w:ascii="Times New Roman" w:hAnsi="Times New Roman" w:eastAsia="仿宋_GB2312" w:cs="仿宋_GB2312"/>
          <w:color w:val="auto"/>
          <w:kern w:val="2"/>
          <w:sz w:val="32"/>
          <w:szCs w:val="32"/>
          <w:highlight w:val="none"/>
          <w:lang w:val="en-US" w:eastAsia="zh-CN" w:bidi="ar-SA"/>
        </w:rPr>
      </w:pPr>
      <w:del w:id="89" w:author="user" w:date="2025-09-15T11:39:18Z">
        <w:r>
          <w:rPr>
            <w:rFonts w:hint="default" w:ascii="Times New Roman" w:hAnsi="Times New Roman" w:eastAsia="仿宋_GB2312" w:cs="仿宋_GB2312"/>
            <w:color w:val="auto"/>
            <w:kern w:val="2"/>
            <w:sz w:val="32"/>
            <w:szCs w:val="32"/>
            <w:highlight w:val="none"/>
            <w:lang w:val="en-US" w:eastAsia="zh-CN" w:bidi="ar-SA"/>
          </w:rPr>
          <w:delText>常年项目绩效分析。该类项目总数28个，涉及预算总金额689.15万元，1—12月预算执行总体进度为100%，其中：预算结余率大于10%的项目共计0个。</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90" w:author="user" w:date="2025-09-15T11:39:18Z"/>
          <w:rFonts w:hint="default" w:ascii="Times New Roman" w:hAnsi="Times New Roman" w:eastAsia="仿宋_GB2312" w:cs="仿宋_GB2312"/>
          <w:color w:val="auto"/>
          <w:kern w:val="2"/>
          <w:sz w:val="32"/>
          <w:szCs w:val="32"/>
          <w:highlight w:val="none"/>
          <w:lang w:val="en-US" w:eastAsia="zh-CN" w:bidi="ar-SA"/>
        </w:rPr>
      </w:pPr>
      <w:del w:id="91" w:author="user" w:date="2025-09-15T11:39:18Z">
        <w:r>
          <w:rPr>
            <w:rFonts w:hint="default" w:ascii="Times New Roman" w:hAnsi="Times New Roman" w:eastAsia="仿宋_GB2312" w:cs="仿宋_GB2312"/>
            <w:color w:val="auto"/>
            <w:kern w:val="2"/>
            <w:sz w:val="32"/>
            <w:szCs w:val="32"/>
            <w:highlight w:val="none"/>
            <w:lang w:val="en-US" w:eastAsia="zh-CN" w:bidi="ar-SA"/>
          </w:rPr>
          <w:delText>阶段（一次性）项目绩效分析。该类项目总数4个，涉及预算总金额127.14万元，1—12月预算执行总体进度为100%，其中：预算结余率大于10%的项目共计0个。</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92" w:author="user" w:date="2025-09-15T11:39:18Z"/>
          <w:rFonts w:hint="default" w:ascii="Times New Roman" w:hAnsi="Times New Roman" w:eastAsia="仿宋_GB2312" w:cs="仿宋_GB2312"/>
          <w:color w:val="auto"/>
          <w:kern w:val="2"/>
          <w:sz w:val="32"/>
          <w:szCs w:val="32"/>
          <w:highlight w:val="none"/>
          <w:lang w:val="en-US" w:eastAsia="zh-CN" w:bidi="ar-SA"/>
        </w:rPr>
      </w:pPr>
      <w:del w:id="93" w:author="user" w:date="2025-09-15T11:39:18Z">
        <w:r>
          <w:rPr>
            <w:rFonts w:hint="default" w:ascii="Times New Roman" w:hAnsi="Times New Roman" w:eastAsia="仿宋_GB2312" w:cs="仿宋_GB2312"/>
            <w:color w:val="auto"/>
            <w:kern w:val="2"/>
            <w:sz w:val="32"/>
            <w:szCs w:val="32"/>
            <w:highlight w:val="none"/>
            <w:lang w:val="en-US" w:eastAsia="zh-CN" w:bidi="ar-SA"/>
          </w:rPr>
          <w:delText>1.项目决策。一是决策程序。2024年根据工作需要及预算情况，申报项目4个，按照市本级预算绩效管理工作要求在申报预算前提交了《单位预算项目支出绩效目标表》。市档案馆绩效目标申报充分与业务工作结合，由各职能科室逐级申报，保障各指标目标设定合理、科学、可行。二是目标设置。单位整体支出绩效目标结合单位职责职能和年度重点工作对绩效目标进行分解和细化，单位项目支出绩效目标能与计划期内的任务量、预算安排的资金量相匹配，能根据项目实施内容细化量化，目标设置较合理，编制质量较好，较符合预算编制目标要求。三是项目入库。市档案馆单位预算项目均在规定时间之前在预算一体化系统中完成项目入库，项目入库及时。</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94" w:author="user" w:date="2025-09-15T11:39:18Z"/>
          <w:rFonts w:hint="default" w:ascii="Times New Roman" w:hAnsi="Times New Roman" w:eastAsia="仿宋_GB2312" w:cs="仿宋_GB2312"/>
          <w:color w:val="auto"/>
          <w:kern w:val="2"/>
          <w:sz w:val="32"/>
          <w:szCs w:val="32"/>
          <w:highlight w:val="none"/>
          <w:lang w:val="en-US" w:eastAsia="zh-CN" w:bidi="ar-SA"/>
        </w:rPr>
      </w:pPr>
      <w:del w:id="95" w:author="user" w:date="2025-09-15T11:39:18Z">
        <w:r>
          <w:rPr>
            <w:rFonts w:hint="default" w:ascii="Times New Roman" w:hAnsi="Times New Roman" w:eastAsia="仿宋_GB2312" w:cs="仿宋_GB2312"/>
            <w:color w:val="auto"/>
            <w:kern w:val="2"/>
            <w:sz w:val="32"/>
            <w:szCs w:val="32"/>
            <w:highlight w:val="none"/>
            <w:lang w:val="en-US" w:eastAsia="zh-CN" w:bidi="ar-SA"/>
          </w:rPr>
          <w:delText>2.项目执行。一是执行同向。市档案项目资金能按照设定的绩效目标、项目实施内容使用，未发现项目资金实际列支内容与绩效目标设置方向不相符的情况。二是项目调整。项目执行中，因具体项目实施条件发生变化，市档案馆及时对需调整的目标绩效进行调整并向市财政局报备，做到了专款专用，确保了专项资金发挥最大效用。三是执行结果。整体项目执行率较高，但仍存在个别项目完成时限推迟的情况。</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96" w:author="user" w:date="2025-09-15T11:39:18Z"/>
          <w:rFonts w:hint="default" w:ascii="Times New Roman" w:hAnsi="Times New Roman" w:eastAsia="仿宋_GB2312" w:cs="仿宋_GB2312"/>
          <w:color w:val="auto"/>
          <w:kern w:val="2"/>
          <w:sz w:val="32"/>
          <w:szCs w:val="32"/>
          <w:highlight w:val="none"/>
          <w:lang w:val="en-US" w:eastAsia="zh-CN" w:bidi="ar-SA"/>
        </w:rPr>
      </w:pPr>
      <w:del w:id="97" w:author="user" w:date="2025-09-15T11:39:18Z">
        <w:r>
          <w:rPr>
            <w:rFonts w:hint="default" w:ascii="Times New Roman" w:hAnsi="Times New Roman" w:eastAsia="仿宋_GB2312" w:cs="仿宋_GB2312"/>
            <w:color w:val="auto"/>
            <w:kern w:val="2"/>
            <w:sz w:val="32"/>
            <w:szCs w:val="32"/>
            <w:highlight w:val="none"/>
            <w:lang w:val="en-US" w:eastAsia="zh-CN" w:bidi="ar-SA"/>
          </w:rPr>
          <w:delText>3.目标实现。一是目标完成及偏离。按照六保六稳的总体要求，市档案馆最大限度压缩日常开支，整合调剂单位项目，及时调整细化项目预算，确保刚性经费支出，积极向上争取资金，同时加快项目进度，加强项目监督，按照计划，较好完成重点项目绩效目标。二是实现效果。通过项目实施单位自查，4个项目较好地完成设定的效益目标。</w:delText>
        </w:r>
      </w:del>
    </w:p>
    <w:p>
      <w:pPr>
        <w:keepNext w:val="0"/>
        <w:keepLines w:val="0"/>
        <w:pageBreakBefore w:val="0"/>
        <w:widowControl w:val="0"/>
        <w:suppressAutoHyphens/>
        <w:kinsoku/>
        <w:wordWrap/>
        <w:overflowPunct/>
        <w:topLinePunct w:val="0"/>
        <w:autoSpaceDE/>
        <w:autoSpaceDN/>
        <w:bidi w:val="0"/>
        <w:snapToGrid w:val="0"/>
        <w:spacing w:line="576" w:lineRule="exact"/>
        <w:ind w:firstLine="642" w:firstLineChars="200"/>
        <w:textAlignment w:val="auto"/>
        <w:rPr>
          <w:del w:id="98" w:author="user" w:date="2025-09-15T11:39:18Z"/>
          <w:rFonts w:hint="default" w:ascii="Times New Roman" w:hAnsi="Times New Roman" w:eastAsia="仿宋_GB2312" w:cs="仿宋_GB2312"/>
          <w:color w:val="auto"/>
          <w:kern w:val="2"/>
          <w:sz w:val="32"/>
          <w:szCs w:val="32"/>
          <w:highlight w:val="none"/>
          <w:lang w:val="en-US" w:eastAsia="zh-CN" w:bidi="ar-SA"/>
        </w:rPr>
      </w:pPr>
      <w:del w:id="99" w:author="user" w:date="2025-09-15T11:39:18Z">
        <w:r>
          <w:rPr>
            <w:rFonts w:hint="default" w:ascii="Times New Roman" w:hAnsi="Times New Roman" w:eastAsia="楷体_GB2312" w:cs="Times New Roman"/>
            <w:b/>
            <w:bCs/>
            <w:color w:val="000000"/>
            <w:kern w:val="0"/>
            <w:sz w:val="32"/>
            <w:szCs w:val="32"/>
            <w:highlight w:val="none"/>
            <w:shd w:val="clear" w:color="auto" w:fill="FFFFFF"/>
            <w:lang w:val="en-US" w:eastAsia="zh-CN"/>
          </w:rPr>
          <w:delText>（</w:delText>
        </w:r>
      </w:del>
      <w:del w:id="100" w:author="user" w:date="2025-09-15T11:39:18Z">
        <w:r>
          <w:rPr>
            <w:rFonts w:hint="default" w:eastAsia="楷体_GB2312" w:cs="Times New Roman"/>
            <w:b/>
            <w:bCs/>
            <w:color w:val="000000"/>
            <w:kern w:val="0"/>
            <w:sz w:val="32"/>
            <w:szCs w:val="32"/>
            <w:highlight w:val="none"/>
            <w:shd w:val="clear" w:color="auto" w:fill="FFFFFF"/>
            <w:lang w:val="en-US" w:eastAsia="zh-CN"/>
          </w:rPr>
          <w:delText>三</w:delText>
        </w:r>
      </w:del>
      <w:del w:id="101" w:author="user" w:date="2025-09-15T11:39:18Z">
        <w:r>
          <w:rPr>
            <w:rFonts w:hint="default" w:ascii="Times New Roman" w:hAnsi="Times New Roman" w:eastAsia="楷体_GB2312" w:cs="Times New Roman"/>
            <w:b/>
            <w:bCs/>
            <w:color w:val="000000"/>
            <w:kern w:val="0"/>
            <w:sz w:val="32"/>
            <w:szCs w:val="32"/>
            <w:highlight w:val="none"/>
            <w:shd w:val="clear" w:color="auto" w:fill="FFFFFF"/>
            <w:lang w:val="en-US" w:eastAsia="zh-CN"/>
          </w:rPr>
          <w:delText>）绩效结果应用情况。</w:delText>
        </w:r>
      </w:del>
      <w:del w:id="102" w:author="user" w:date="2025-09-15T11:39:18Z">
        <w:r>
          <w:rPr>
            <w:rFonts w:hint="default" w:ascii="Times New Roman" w:hAnsi="Times New Roman" w:eastAsia="仿宋_GB2312" w:cs="仿宋_GB2312"/>
            <w:color w:val="auto"/>
            <w:kern w:val="2"/>
            <w:sz w:val="32"/>
            <w:szCs w:val="32"/>
            <w:highlight w:val="none"/>
            <w:lang w:val="en-US" w:eastAsia="zh-CN" w:bidi="ar-SA"/>
          </w:rPr>
          <w:delText>一是绩效自评结果按照职责分工纳入对单位和责任人的年度目标绩效考核体系，考核结果与晋级晋职、岗位调整、评优评先挂钩；二是将2024年绩效自评结果运用到2025年工作安排、项目建设上，进一步明确目标任务，提高工作执行力，保质保量完成市委市政府交代的各项工作。三是绩效自评报告和自评表在市档案馆网站公开，接受相关单位、社会各界和群众监督，及时改进绩效管理工作。</w:delText>
        </w:r>
      </w:del>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103" w:author="user" w:date="2025-09-15T11:39:18Z"/>
          <w:rFonts w:hint="default" w:ascii="Times New Roman" w:hAnsi="Times New Roman" w:eastAsia="黑体" w:cs="Times New Roman"/>
          <w:color w:val="000000"/>
          <w:kern w:val="0"/>
          <w:sz w:val="32"/>
          <w:szCs w:val="32"/>
          <w:highlight w:val="none"/>
          <w:shd w:val="clear" w:color="auto" w:fill="FFFFFF"/>
          <w:lang w:val="en-US"/>
        </w:rPr>
      </w:pPr>
      <w:del w:id="104" w:author="user" w:date="2025-09-15T11:39:18Z">
        <w:r>
          <w:rPr>
            <w:rFonts w:hint="default" w:ascii="Times New Roman" w:hAnsi="Times New Roman" w:eastAsia="黑体" w:cs="Times New Roman"/>
            <w:color w:val="000000"/>
            <w:kern w:val="0"/>
            <w:sz w:val="32"/>
            <w:szCs w:val="32"/>
            <w:highlight w:val="none"/>
            <w:shd w:val="clear" w:color="auto" w:fill="FFFFFF"/>
            <w:lang w:val="en-US" w:eastAsia="zh-CN"/>
          </w:rPr>
          <w:delText>四、</w:delText>
        </w:r>
      </w:del>
      <w:del w:id="105" w:author="user" w:date="2025-09-15T11:39:18Z">
        <w:r>
          <w:rPr>
            <w:rFonts w:hint="default" w:ascii="Times New Roman" w:hAnsi="Times New Roman" w:eastAsia="黑体" w:cs="Times New Roman"/>
            <w:color w:val="000000"/>
            <w:kern w:val="0"/>
            <w:sz w:val="32"/>
            <w:szCs w:val="32"/>
            <w:highlight w:val="none"/>
            <w:shd w:val="clear" w:color="auto" w:fill="FFFFFF"/>
            <w:lang w:val="en-US"/>
          </w:rPr>
          <w:delText>评价结论及建议</w:delText>
        </w:r>
      </w:del>
    </w:p>
    <w:p>
      <w:pPr>
        <w:keepNext w:val="0"/>
        <w:keepLines w:val="0"/>
        <w:pageBreakBefore w:val="0"/>
        <w:widowControl/>
        <w:suppressLineNumbers w:val="0"/>
        <w:suppressAutoHyphens w:val="0"/>
        <w:kinsoku/>
        <w:wordWrap/>
        <w:overflowPunct/>
        <w:topLinePunct w:val="0"/>
        <w:autoSpaceDE/>
        <w:autoSpaceDN/>
        <w:bidi w:val="0"/>
        <w:adjustRightInd w:val="0"/>
        <w:snapToGrid w:val="0"/>
        <w:spacing w:line="576" w:lineRule="exact"/>
        <w:ind w:firstLine="642" w:firstLineChars="200"/>
        <w:contextualSpacing/>
        <w:jc w:val="both"/>
        <w:textAlignment w:val="auto"/>
        <w:rPr>
          <w:del w:id="106" w:author="user" w:date="2025-09-15T11:39:18Z"/>
          <w:rFonts w:hint="default" w:ascii="Times New Roman" w:hAnsi="Times New Roman" w:eastAsia="仿宋_GB2312" w:cs="仿宋_GB2312"/>
          <w:color w:val="auto"/>
          <w:kern w:val="2"/>
          <w:sz w:val="32"/>
          <w:szCs w:val="32"/>
          <w:highlight w:val="none"/>
          <w:lang w:val="en-US" w:eastAsia="zh-CN" w:bidi="ar-SA"/>
        </w:rPr>
      </w:pPr>
      <w:del w:id="107" w:author="user" w:date="2025-09-15T11:39:18Z">
        <w:r>
          <w:rPr>
            <w:rFonts w:hint="default" w:ascii="Times New Roman" w:hAnsi="Times New Roman" w:eastAsia="楷体_GB2312" w:cs="Times New Roman"/>
            <w:b/>
            <w:bCs/>
            <w:color w:val="000000"/>
            <w:kern w:val="0"/>
            <w:sz w:val="32"/>
            <w:szCs w:val="32"/>
            <w:highlight w:val="none"/>
            <w:shd w:val="clear" w:color="auto" w:fill="FFFFFF"/>
            <w:lang w:val="en-US"/>
          </w:rPr>
          <w:delText>（一）评价结论。</w:delText>
        </w:r>
      </w:del>
      <w:del w:id="108" w:author="user" w:date="2025-09-15T11:39:18Z">
        <w:r>
          <w:rPr>
            <w:rFonts w:hint="default" w:ascii="Times New Roman" w:hAnsi="Times New Roman" w:eastAsia="仿宋_GB2312" w:cs="仿宋_GB2312"/>
            <w:color w:val="auto"/>
            <w:kern w:val="2"/>
            <w:sz w:val="32"/>
            <w:szCs w:val="32"/>
            <w:highlight w:val="none"/>
            <w:lang w:val="en-US" w:eastAsia="zh-CN" w:bidi="ar-SA"/>
          </w:rPr>
          <w:delText>2024年，市档案馆绩效自评得分100分。全年实现支出816.29万元，保障了我馆的日常运转及相关项目开展。通过绩效评价与分析，增强了全馆资金绩效观念，加强了财政支出管理，使得公共资源得以合理配置，财政支出结构得以优化，提高了资金管理水平和使用效益。保障当前档案馆日常工作开展及推动档案业务建设发展，进一步加强档案法治建设、基础设施建设、档案信息化建设、档案馆功能建设和档案干部队伍建设。</w:delText>
        </w:r>
      </w:del>
    </w:p>
    <w:p>
      <w:pPr>
        <w:keepNext w:val="0"/>
        <w:keepLines w:val="0"/>
        <w:pageBreakBefore w:val="0"/>
        <w:widowControl/>
        <w:suppressLineNumbers w:val="0"/>
        <w:suppressAutoHyphens w:val="0"/>
        <w:kinsoku/>
        <w:wordWrap/>
        <w:overflowPunct/>
        <w:topLinePunct w:val="0"/>
        <w:autoSpaceDE/>
        <w:autoSpaceDN/>
        <w:bidi w:val="0"/>
        <w:adjustRightInd w:val="0"/>
        <w:snapToGrid w:val="0"/>
        <w:spacing w:line="576" w:lineRule="exact"/>
        <w:ind w:firstLine="642" w:firstLineChars="200"/>
        <w:contextualSpacing/>
        <w:jc w:val="both"/>
        <w:textAlignment w:val="auto"/>
        <w:rPr>
          <w:del w:id="109" w:author="user" w:date="2025-09-15T11:39:18Z"/>
          <w:rFonts w:hint="default" w:ascii="Times New Roman" w:hAnsi="Times New Roman" w:eastAsia="仿宋_GB2312" w:cs="仿宋_GB2312"/>
          <w:color w:val="auto"/>
          <w:kern w:val="2"/>
          <w:sz w:val="32"/>
          <w:szCs w:val="32"/>
          <w:highlight w:val="none"/>
          <w:lang w:val="en-US" w:eastAsia="zh-CN" w:bidi="ar-SA"/>
        </w:rPr>
      </w:pPr>
      <w:del w:id="110" w:author="user" w:date="2025-09-15T11:39:18Z">
        <w:r>
          <w:rPr>
            <w:rFonts w:hint="default" w:ascii="Times New Roman" w:hAnsi="Times New Roman" w:eastAsia="楷体_GB2312" w:cs="Times New Roman"/>
            <w:b/>
            <w:bCs/>
            <w:color w:val="000000"/>
            <w:kern w:val="0"/>
            <w:sz w:val="32"/>
            <w:szCs w:val="32"/>
            <w:highlight w:val="none"/>
            <w:shd w:val="clear" w:color="auto" w:fill="FFFFFF"/>
            <w:lang w:val="en-US"/>
          </w:rPr>
          <w:delText>（二）存在问题。</w:delText>
        </w:r>
      </w:del>
      <w:del w:id="111" w:author="user" w:date="2025-09-15T11:39:18Z">
        <w:r>
          <w:rPr>
            <w:rFonts w:hint="default" w:ascii="Times New Roman" w:hAnsi="Times New Roman" w:eastAsia="仿宋_GB2312" w:cs="仿宋_GB2312"/>
            <w:color w:val="auto"/>
            <w:kern w:val="2"/>
            <w:sz w:val="32"/>
            <w:szCs w:val="32"/>
            <w:highlight w:val="none"/>
            <w:lang w:val="en-US" w:eastAsia="zh-CN" w:bidi="ar-SA"/>
          </w:rPr>
          <w:delText>2024年，我馆严格按照预算资金绩效管理办法，及时开展了各项工作，但还存在以下问题：</w:delText>
        </w:r>
      </w:del>
      <w:del w:id="112" w:author="user" w:date="2025-09-15T11:39:18Z">
        <w:r>
          <w:rPr>
            <w:rFonts w:hint="default" w:ascii="Times New Roman" w:hAnsi="Times New Roman" w:eastAsia="仿宋_GB2312" w:cs="仿宋_GB2312"/>
            <w:b/>
            <w:bCs/>
            <w:color w:val="auto"/>
            <w:kern w:val="2"/>
            <w:sz w:val="32"/>
            <w:szCs w:val="32"/>
            <w:highlight w:val="none"/>
            <w:lang w:val="en-US" w:eastAsia="zh-CN" w:bidi="ar-SA"/>
          </w:rPr>
          <w:delText>一是</w:delText>
        </w:r>
      </w:del>
      <w:del w:id="113" w:author="user" w:date="2025-09-15T11:39:18Z">
        <w:r>
          <w:rPr>
            <w:rFonts w:hint="default" w:ascii="Times New Roman" w:hAnsi="Times New Roman" w:eastAsia="仿宋_GB2312" w:cs="仿宋_GB2312"/>
            <w:color w:val="auto"/>
            <w:kern w:val="2"/>
            <w:sz w:val="32"/>
            <w:szCs w:val="32"/>
            <w:highlight w:val="none"/>
            <w:lang w:val="en-US" w:eastAsia="zh-CN" w:bidi="ar-SA"/>
          </w:rPr>
          <w:delText>全面实施绩效管理认识不够，未牢固树立花钱必问效的理念。</w:delText>
        </w:r>
      </w:del>
      <w:del w:id="114" w:author="user" w:date="2025-09-15T11:39:18Z">
        <w:r>
          <w:rPr>
            <w:rFonts w:hint="default" w:ascii="Times New Roman" w:hAnsi="Times New Roman" w:eastAsia="仿宋_GB2312" w:cs="仿宋_GB2312"/>
            <w:b/>
            <w:bCs/>
            <w:color w:val="auto"/>
            <w:kern w:val="2"/>
            <w:sz w:val="32"/>
            <w:szCs w:val="32"/>
            <w:highlight w:val="none"/>
            <w:lang w:val="en-US" w:eastAsia="zh-CN" w:bidi="ar-SA"/>
          </w:rPr>
          <w:delText>二是</w:delText>
        </w:r>
      </w:del>
      <w:del w:id="115" w:author="user" w:date="2025-09-15T11:39:18Z">
        <w:r>
          <w:rPr>
            <w:rFonts w:hint="default" w:ascii="Times New Roman" w:hAnsi="Times New Roman" w:eastAsia="仿宋_GB2312" w:cs="仿宋_GB2312"/>
            <w:color w:val="auto"/>
            <w:kern w:val="2"/>
            <w:sz w:val="32"/>
            <w:szCs w:val="32"/>
            <w:highlight w:val="none"/>
            <w:lang w:val="en-US" w:eastAsia="zh-CN" w:bidi="ar-SA"/>
          </w:rPr>
          <w:delText>绩效管理实务操作不够深入，主要停留在财政财务和简单项目的评价，对专业度、复杂度高的项目绩效分析挖掘存在短板。</w:delText>
        </w:r>
      </w:del>
    </w:p>
    <w:p>
      <w:pPr>
        <w:pStyle w:val="2"/>
        <w:keepNext w:val="0"/>
        <w:keepLines w:val="0"/>
        <w:pageBreakBefore w:val="0"/>
        <w:widowControl w:val="0"/>
        <w:suppressAutoHyphens/>
        <w:kinsoku/>
        <w:wordWrap/>
        <w:overflowPunct/>
        <w:topLinePunct w:val="0"/>
        <w:autoSpaceDE/>
        <w:autoSpaceDN/>
        <w:adjustRightInd/>
        <w:snapToGrid/>
        <w:spacing w:before="30" w:line="576" w:lineRule="exact"/>
        <w:ind w:firstLine="642" w:firstLineChars="200"/>
        <w:rPr>
          <w:del w:id="116" w:author="user" w:date="2025-09-15T11:39:18Z"/>
          <w:rFonts w:hint="default" w:ascii="Times New Roman" w:hAnsi="Times New Roman" w:eastAsia="仿宋_GB2312" w:cs="仿宋_GB2312"/>
          <w:color w:val="auto"/>
          <w:kern w:val="2"/>
          <w:sz w:val="32"/>
          <w:szCs w:val="32"/>
          <w:highlight w:val="none"/>
          <w:lang w:val="en-US" w:eastAsia="zh-CN" w:bidi="ar-SA"/>
        </w:rPr>
      </w:pPr>
      <w:del w:id="117" w:author="user" w:date="2025-09-15T11:39:18Z">
        <w:r>
          <w:rPr>
            <w:rFonts w:hint="default" w:ascii="Times New Roman" w:hAnsi="Times New Roman" w:eastAsia="楷体_GB2312" w:cs="Times New Roman"/>
            <w:b/>
            <w:bCs/>
            <w:color w:val="000000"/>
            <w:kern w:val="0"/>
            <w:sz w:val="32"/>
            <w:szCs w:val="32"/>
            <w:highlight w:val="none"/>
            <w:shd w:val="clear" w:color="auto" w:fill="FFFFFF"/>
            <w:lang w:val="en-US" w:eastAsia="zh-CN"/>
          </w:rPr>
          <w:delText>（三）改进建议。</w:delText>
        </w:r>
      </w:del>
      <w:del w:id="118" w:author="user" w:date="2025-09-15T11:39:18Z">
        <w:bookmarkStart w:id="51" w:name="_Hlk110546638"/>
        <w:r>
          <w:rPr>
            <w:rFonts w:hint="default" w:ascii="Times New Roman" w:hAnsi="Times New Roman" w:eastAsia="仿宋_GB2312" w:cs="仿宋_GB2312"/>
            <w:b/>
            <w:bCs/>
            <w:color w:val="auto"/>
            <w:kern w:val="2"/>
            <w:sz w:val="32"/>
            <w:szCs w:val="32"/>
            <w:highlight w:val="none"/>
            <w:lang w:val="en-US" w:eastAsia="zh-CN" w:bidi="ar-SA"/>
          </w:rPr>
          <w:delText>一是</w:delText>
        </w:r>
      </w:del>
      <w:del w:id="119" w:author="user" w:date="2025-09-15T11:39:18Z">
        <w:r>
          <w:rPr>
            <w:rFonts w:hint="default" w:ascii="Times New Roman" w:hAnsi="Times New Roman" w:eastAsia="仿宋_GB2312" w:cs="仿宋_GB2312"/>
            <w:color w:val="auto"/>
            <w:kern w:val="2"/>
            <w:sz w:val="32"/>
            <w:szCs w:val="32"/>
            <w:highlight w:val="none"/>
            <w:lang w:val="en-US" w:eastAsia="zh-CN" w:bidi="ar-SA"/>
          </w:rPr>
          <w:delText>加强对绩效管理理念的宣传培训，提高馆内干部对绩效管理优化资源配置、提升公共服务质量重大意义的认识，提高全馆对绩效管理工作的重视度和自觉性。</w:delText>
        </w:r>
      </w:del>
      <w:del w:id="120" w:author="user" w:date="2025-09-15T11:39:18Z">
        <w:r>
          <w:rPr>
            <w:rFonts w:hint="default" w:ascii="Times New Roman" w:hAnsi="Times New Roman" w:eastAsia="仿宋_GB2312" w:cs="仿宋_GB2312"/>
            <w:b/>
            <w:bCs/>
            <w:color w:val="auto"/>
            <w:kern w:val="2"/>
            <w:sz w:val="32"/>
            <w:szCs w:val="32"/>
            <w:highlight w:val="none"/>
            <w:lang w:val="en-US" w:eastAsia="zh-CN" w:bidi="ar-SA"/>
          </w:rPr>
          <w:delText>二是</w:delText>
        </w:r>
      </w:del>
      <w:del w:id="121" w:author="user" w:date="2025-09-15T11:39:18Z">
        <w:r>
          <w:rPr>
            <w:rFonts w:hint="default" w:ascii="Times New Roman" w:hAnsi="Times New Roman" w:eastAsia="仿宋_GB2312" w:cs="仿宋_GB2312"/>
            <w:color w:val="auto"/>
            <w:kern w:val="2"/>
            <w:sz w:val="32"/>
            <w:szCs w:val="32"/>
            <w:highlight w:val="none"/>
            <w:lang w:val="en-US" w:eastAsia="zh-CN" w:bidi="ar-SA"/>
          </w:rPr>
          <w:delText>坚持绩效评价问题导向，加强统筹、规范做好财政预算资金、政府采购、政府购买服务等多维度绩效评价，补齐短板。</w:delText>
        </w:r>
      </w:del>
      <w:del w:id="122" w:author="user" w:date="2025-09-15T11:39:18Z">
        <w:r>
          <w:rPr>
            <w:rFonts w:hint="default" w:ascii="Times New Roman" w:hAnsi="Times New Roman" w:eastAsia="仿宋_GB2312" w:cs="仿宋_GB2312"/>
            <w:b/>
            <w:bCs/>
            <w:color w:val="auto"/>
            <w:kern w:val="2"/>
            <w:sz w:val="32"/>
            <w:szCs w:val="32"/>
            <w:highlight w:val="none"/>
            <w:lang w:val="en-US" w:eastAsia="zh-CN" w:bidi="ar-SA"/>
          </w:rPr>
          <w:delText>三是</w:delText>
        </w:r>
      </w:del>
      <w:del w:id="123" w:author="user" w:date="2025-09-15T11:39:18Z">
        <w:r>
          <w:rPr>
            <w:rFonts w:hint="default" w:ascii="Times New Roman" w:hAnsi="Times New Roman" w:eastAsia="仿宋_GB2312" w:cs="仿宋_GB2312"/>
            <w:color w:val="auto"/>
            <w:kern w:val="2"/>
            <w:sz w:val="32"/>
            <w:szCs w:val="32"/>
            <w:highlight w:val="none"/>
            <w:lang w:val="en-US" w:eastAsia="zh-CN" w:bidi="ar-SA"/>
          </w:rPr>
          <w:delText>优化绩效体系建设，细化绩效指标评价标准，强化指标可行性、必要性。</w:delText>
        </w:r>
        <w:bookmarkEnd w:id="51"/>
      </w:del>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del w:id="124" w:author="user" w:date="2025-09-15T11:39:18Z">
        <w:r>
          <w:rPr>
            <w:rFonts w:hint="default" w:ascii="Times New Roman" w:hAnsi="Times New Roman" w:eastAsia="仿宋_GB2312" w:cs="Times New Roman"/>
            <w:kern w:val="2"/>
            <w:sz w:val="32"/>
            <w:szCs w:val="32"/>
            <w:u w:val="none"/>
            <w:lang w:val="en-US" w:eastAsia="zh-CN" w:bidi="ar"/>
          </w:rPr>
          <w:delText>附表：</w:delText>
        </w:r>
      </w:del>
      <w:del w:id="125" w:author="user" w:date="2025-09-15T11:39:18Z">
        <w:r>
          <w:rPr>
            <w:rFonts w:hint="default" w:ascii="Times New Roman" w:eastAsia="仿宋_GB2312" w:cs="Times New Roman"/>
            <w:kern w:val="2"/>
            <w:sz w:val="32"/>
            <w:szCs w:val="32"/>
            <w:u w:val="none"/>
            <w:lang w:val="en-US" w:eastAsia="zh-CN" w:bidi="ar"/>
          </w:rPr>
          <w:delText>单位</w:delText>
        </w:r>
      </w:del>
      <w:ins w:id="126" w:author="user" w:date="2025-09-15T11:39:31Z">
        <w:r>
          <w:rPr>
            <w:rFonts w:hint="eastAsia" w:ascii="Times New Roman" w:eastAsia="仿宋_GB2312" w:cs="Times New Roman"/>
            <w:kern w:val="2"/>
            <w:sz w:val="32"/>
            <w:szCs w:val="32"/>
            <w:u w:val="none"/>
            <w:lang w:val="en-US" w:eastAsia="zh-CN" w:bidi="ar"/>
          </w:rPr>
          <w:t>部门</w:t>
        </w:r>
      </w:ins>
      <w:r>
        <w:rPr>
          <w:rFonts w:hint="eastAsia" w:ascii="Times New Roman" w:hAnsi="Times New Roman" w:eastAsia="仿宋_GB2312" w:cs="Times New Roman"/>
          <w:kern w:val="2"/>
          <w:sz w:val="32"/>
          <w:szCs w:val="32"/>
          <w:u w:val="none"/>
          <w:lang w:val="en-US" w:eastAsia="zh-CN" w:bidi="ar"/>
        </w:rPr>
        <w:t>预算项目支出绩效自评表（2024年度）</w:t>
      </w:r>
      <w:ins w:id="127" w:author="user" w:date="2025-09-15T11:39:48Z">
        <w:r>
          <w:rPr>
            <w:rFonts w:hint="eastAsia" w:ascii="Times New Roman" w:eastAsia="仿宋_GB2312" w:cs="Times New Roman"/>
            <w:kern w:val="2"/>
            <w:sz w:val="32"/>
            <w:szCs w:val="32"/>
            <w:u w:val="none"/>
            <w:lang w:val="en-US" w:eastAsia="zh-CN" w:bidi="ar"/>
          </w:rPr>
          <w:t>见</w:t>
        </w:r>
      </w:ins>
      <w:ins w:id="128" w:author="user" w:date="2025-09-15T11:39:49Z">
        <w:r>
          <w:rPr>
            <w:rFonts w:hint="eastAsia" w:ascii="Times New Roman" w:eastAsia="仿宋_GB2312" w:cs="Times New Roman"/>
            <w:kern w:val="2"/>
            <w:sz w:val="32"/>
            <w:szCs w:val="32"/>
            <w:u w:val="none"/>
            <w:lang w:val="en-US" w:eastAsia="zh-CN" w:bidi="ar"/>
          </w:rPr>
          <w:t>附件</w:t>
        </w:r>
      </w:ins>
      <w:ins w:id="129" w:author="user" w:date="2025-09-15T11:39:51Z">
        <w:r>
          <w:rPr>
            <w:rFonts w:hint="eastAsia" w:ascii="Times New Roman" w:eastAsia="仿宋_GB2312" w:cs="Times New Roman"/>
            <w:kern w:val="2"/>
            <w:sz w:val="32"/>
            <w:szCs w:val="32"/>
            <w:u w:val="none"/>
            <w:lang w:val="en-US" w:eastAsia="zh-CN" w:bidi="ar"/>
          </w:rPr>
          <w:t>3</w:t>
        </w:r>
      </w:ins>
      <w:ins w:id="130" w:author="user" w:date="2025-09-15T11:39:53Z">
        <w:r>
          <w:rPr>
            <w:rFonts w:hint="eastAsia" w:ascii="Times New Roman" w:eastAsia="仿宋_GB2312" w:cs="Times New Roman"/>
            <w:kern w:val="2"/>
            <w:sz w:val="32"/>
            <w:szCs w:val="32"/>
            <w:u w:val="none"/>
            <w:lang w:val="en-US" w:eastAsia="zh-CN" w:bidi="ar"/>
          </w:rPr>
          <w:t>。</w:t>
        </w:r>
      </w:ins>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2"/>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widowControl/>
        <w:jc w:val="center"/>
        <w:rPr>
          <w:rFonts w:hint="eastAsia" w:ascii="Times New Roman" w:hAnsi="Times New Roman" w:eastAsia="仿宋"/>
          <w:b w:val="0"/>
          <w:color w:val="auto"/>
          <w:highlight w:val="none"/>
        </w:rPr>
      </w:pPr>
      <w:bookmarkStart w:id="52"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0"/>
      <w:bookmarkEnd w:id="52"/>
      <w:bookmarkStart w:id="53"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0"/>
      <w:r>
        <w:rPr>
          <w:rFonts w:hint="eastAsia" w:ascii="Times New Roman" w:hAnsi="Times New Roman" w:eastAsia="仿宋_GB2312" w:cs="仿宋_GB2312"/>
          <w:color w:val="auto"/>
          <w:sz w:val="32"/>
          <w:szCs w:val="32"/>
          <w:highlight w:val="none"/>
        </w:rPr>
        <w:t>二、收入决算表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1"/>
      <w:r>
        <w:rPr>
          <w:rFonts w:hint="eastAsia" w:ascii="Times New Roman" w:hAnsi="Times New Roman" w:eastAsia="仿宋_GB2312" w:cs="仿宋_GB2312"/>
          <w:color w:val="auto"/>
          <w:sz w:val="32"/>
          <w:szCs w:val="32"/>
          <w:highlight w:val="none"/>
        </w:rPr>
        <w:t>三、支出决算表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2"/>
      <w:r>
        <w:rPr>
          <w:rFonts w:hint="eastAsia" w:ascii="Times New Roman" w:hAnsi="Times New Roman" w:eastAsia="仿宋_GB2312" w:cs="仿宋_GB2312"/>
          <w:color w:val="auto"/>
          <w:sz w:val="32"/>
          <w:szCs w:val="32"/>
          <w:highlight w:val="none"/>
        </w:rPr>
        <w:t>四、财政拨款收入支出决算总表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3"/>
      <w:r>
        <w:rPr>
          <w:rFonts w:hint="eastAsia" w:ascii="Times New Roman" w:hAnsi="Times New Roman" w:eastAsia="仿宋_GB2312" w:cs="仿宋_GB2312"/>
          <w:color w:val="auto"/>
          <w:sz w:val="32"/>
          <w:szCs w:val="32"/>
          <w:highlight w:val="none"/>
        </w:rPr>
        <w:t>五、财政拨款支出决算明细表</w:t>
      </w:r>
      <w:bookmarkEnd w:id="57"/>
      <w:bookmarkStart w:id="58"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5"/>
      <w:r>
        <w:rPr>
          <w:rFonts w:hint="eastAsia" w:ascii="Times New Roman" w:hAnsi="Times New Roman" w:eastAsia="仿宋_GB2312" w:cs="仿宋_GB2312"/>
          <w:color w:val="auto"/>
          <w:sz w:val="32"/>
          <w:szCs w:val="32"/>
          <w:highlight w:val="none"/>
        </w:rPr>
        <w:t>七、一般公共预算财政拨款支出决算明细表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6"/>
      <w:r>
        <w:rPr>
          <w:rFonts w:hint="eastAsia" w:ascii="Times New Roman" w:hAnsi="Times New Roman" w:eastAsia="仿宋_GB2312" w:cs="仿宋_GB2312"/>
          <w:color w:val="auto"/>
          <w:sz w:val="32"/>
          <w:szCs w:val="32"/>
          <w:highlight w:val="none"/>
        </w:rPr>
        <w:t>八、一般公共预算财政拨款基本支出决算表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7"/>
      <w:r>
        <w:rPr>
          <w:rFonts w:hint="eastAsia" w:ascii="Times New Roman" w:hAnsi="Times New Roman" w:eastAsia="仿宋_GB2312" w:cs="仿宋_GB2312"/>
          <w:color w:val="auto"/>
          <w:sz w:val="32"/>
          <w:szCs w:val="32"/>
          <w:highlight w:val="none"/>
        </w:rPr>
        <w:t>九、一般公共预算财政拨款项目支出决算表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8"/>
      <w:r>
        <w:rPr>
          <w:rFonts w:hint="eastAsia" w:ascii="Times New Roman" w:hAnsi="Times New Roman" w:eastAsia="仿宋_GB2312" w:cs="仿宋_GB2312"/>
          <w:color w:val="auto"/>
          <w:sz w:val="32"/>
          <w:szCs w:val="32"/>
          <w:highlight w:val="none"/>
        </w:rPr>
        <w:t>十、</w:t>
      </w:r>
      <w:bookmarkEnd w:id="62"/>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9"/>
      <w:r>
        <w:rPr>
          <w:rFonts w:hint="eastAsia" w:ascii="Times New Roman" w:hAnsi="Times New Roman" w:eastAsia="仿宋_GB2312" w:cs="仿宋_GB2312"/>
          <w:color w:val="auto"/>
          <w:sz w:val="32"/>
          <w:szCs w:val="32"/>
          <w:highlight w:val="none"/>
        </w:rPr>
        <w:t>十一、</w:t>
      </w:r>
      <w:bookmarkEnd w:id="6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30"/>
      <w:r>
        <w:rPr>
          <w:rFonts w:hint="eastAsia" w:ascii="Times New Roman" w:hAnsi="Times New Roman" w:eastAsia="仿宋_GB2312" w:cs="仿宋_GB2312"/>
          <w:color w:val="auto"/>
          <w:sz w:val="32"/>
          <w:szCs w:val="32"/>
          <w:highlight w:val="none"/>
        </w:rPr>
        <w:t>十二、</w:t>
      </w:r>
      <w:bookmarkEnd w:id="64"/>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5" w:name="_Toc15396631"/>
      <w:r>
        <w:rPr>
          <w:rFonts w:hint="eastAsia" w:ascii="Times New Roman" w:hAnsi="Times New Roman" w:eastAsia="仿宋_GB2312" w:cs="仿宋_GB2312"/>
          <w:color w:val="auto"/>
          <w:sz w:val="32"/>
          <w:szCs w:val="32"/>
          <w:highlight w:val="none"/>
        </w:rPr>
        <w:t>十三、</w:t>
      </w:r>
      <w:bookmarkEnd w:id="65"/>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x5e1z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4B1D"/>
    <w:multiLevelType w:val="singleLevel"/>
    <w:tmpl w:val="FDFE4B1D"/>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19"/>
  <w:drawingGridHorizontalSpacing w:val="105"/>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252E4F"/>
    <w:rsid w:val="0F98263C"/>
    <w:rsid w:val="101860EC"/>
    <w:rsid w:val="101F47CC"/>
    <w:rsid w:val="10C055FF"/>
    <w:rsid w:val="11694EBD"/>
    <w:rsid w:val="11772AA4"/>
    <w:rsid w:val="118107EC"/>
    <w:rsid w:val="12E24EE2"/>
    <w:rsid w:val="13D50BC4"/>
    <w:rsid w:val="14B17F78"/>
    <w:rsid w:val="157E8505"/>
    <w:rsid w:val="165E0673"/>
    <w:rsid w:val="16B831D5"/>
    <w:rsid w:val="16BB723D"/>
    <w:rsid w:val="17E50567"/>
    <w:rsid w:val="17FE0042"/>
    <w:rsid w:val="186504BB"/>
    <w:rsid w:val="19A445FC"/>
    <w:rsid w:val="1ACFD39D"/>
    <w:rsid w:val="1BE8440E"/>
    <w:rsid w:val="1D155CEE"/>
    <w:rsid w:val="1D1638FE"/>
    <w:rsid w:val="1E312DEB"/>
    <w:rsid w:val="1E740ACF"/>
    <w:rsid w:val="1FF244B8"/>
    <w:rsid w:val="1FF35744"/>
    <w:rsid w:val="1FF6BC77"/>
    <w:rsid w:val="1FFAC0FF"/>
    <w:rsid w:val="2186353C"/>
    <w:rsid w:val="23860B96"/>
    <w:rsid w:val="240371BF"/>
    <w:rsid w:val="244F3473"/>
    <w:rsid w:val="24C97D99"/>
    <w:rsid w:val="25A718F0"/>
    <w:rsid w:val="25BB59F6"/>
    <w:rsid w:val="260F557C"/>
    <w:rsid w:val="26970054"/>
    <w:rsid w:val="27DFED2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F4CF20"/>
    <w:rsid w:val="36AA5135"/>
    <w:rsid w:val="36BE0DA7"/>
    <w:rsid w:val="376B6AA6"/>
    <w:rsid w:val="376D39B2"/>
    <w:rsid w:val="37AFCEC4"/>
    <w:rsid w:val="37DE43B4"/>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5BEAE2"/>
    <w:rsid w:val="3F7F7599"/>
    <w:rsid w:val="3FED062E"/>
    <w:rsid w:val="3FF4CAE0"/>
    <w:rsid w:val="3FF7B227"/>
    <w:rsid w:val="44E268DA"/>
    <w:rsid w:val="450D13D7"/>
    <w:rsid w:val="45506656"/>
    <w:rsid w:val="486A6C7A"/>
    <w:rsid w:val="4A627F82"/>
    <w:rsid w:val="4ABA019C"/>
    <w:rsid w:val="4B0E749A"/>
    <w:rsid w:val="4B2477C4"/>
    <w:rsid w:val="4B4F25DA"/>
    <w:rsid w:val="4BE068DB"/>
    <w:rsid w:val="4D577224"/>
    <w:rsid w:val="4DBF1CEB"/>
    <w:rsid w:val="4DF0007C"/>
    <w:rsid w:val="4EAB630A"/>
    <w:rsid w:val="4EBF4A52"/>
    <w:rsid w:val="4ECE2238"/>
    <w:rsid w:val="4F833267"/>
    <w:rsid w:val="4FE9BD67"/>
    <w:rsid w:val="4FF1A478"/>
    <w:rsid w:val="4FFB052F"/>
    <w:rsid w:val="537E6D0A"/>
    <w:rsid w:val="53F74C96"/>
    <w:rsid w:val="55170BA8"/>
    <w:rsid w:val="553218C9"/>
    <w:rsid w:val="567E1AA5"/>
    <w:rsid w:val="56E47B74"/>
    <w:rsid w:val="57175D52"/>
    <w:rsid w:val="577D9C2E"/>
    <w:rsid w:val="57BD3DD4"/>
    <w:rsid w:val="57BF7848"/>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7E2F91"/>
    <w:rsid w:val="61E6CC7B"/>
    <w:rsid w:val="62BF3928"/>
    <w:rsid w:val="633FC238"/>
    <w:rsid w:val="63B3701E"/>
    <w:rsid w:val="647F5392"/>
    <w:rsid w:val="65E66580"/>
    <w:rsid w:val="664B1D71"/>
    <w:rsid w:val="664B4E8E"/>
    <w:rsid w:val="67277B67"/>
    <w:rsid w:val="67AA3209"/>
    <w:rsid w:val="698D0931"/>
    <w:rsid w:val="6A7FE5F3"/>
    <w:rsid w:val="6B053271"/>
    <w:rsid w:val="6B9F243D"/>
    <w:rsid w:val="6BDD78B3"/>
    <w:rsid w:val="6BF94B77"/>
    <w:rsid w:val="6C4A05C8"/>
    <w:rsid w:val="6C8742B8"/>
    <w:rsid w:val="6D7B1B3A"/>
    <w:rsid w:val="6DBF5E93"/>
    <w:rsid w:val="6DFF077E"/>
    <w:rsid w:val="6E714EF0"/>
    <w:rsid w:val="6E7E3605"/>
    <w:rsid w:val="6E7FDCC7"/>
    <w:rsid w:val="6ED6A62E"/>
    <w:rsid w:val="6EE00B15"/>
    <w:rsid w:val="6F6FB3EB"/>
    <w:rsid w:val="6F8731EA"/>
    <w:rsid w:val="6FB7DC61"/>
    <w:rsid w:val="6FCE6052"/>
    <w:rsid w:val="6FD57C00"/>
    <w:rsid w:val="6FEFFFD8"/>
    <w:rsid w:val="6FF00E61"/>
    <w:rsid w:val="6FF5CC65"/>
    <w:rsid w:val="6FFB47EC"/>
    <w:rsid w:val="6FFDEC98"/>
    <w:rsid w:val="6FFF034A"/>
    <w:rsid w:val="70484440"/>
    <w:rsid w:val="712A28F1"/>
    <w:rsid w:val="715C0E4B"/>
    <w:rsid w:val="71992E7C"/>
    <w:rsid w:val="72233669"/>
    <w:rsid w:val="72734D90"/>
    <w:rsid w:val="73160E6D"/>
    <w:rsid w:val="7332FE48"/>
    <w:rsid w:val="73AB61DA"/>
    <w:rsid w:val="73AD73D5"/>
    <w:rsid w:val="73B6EB34"/>
    <w:rsid w:val="73CFF239"/>
    <w:rsid w:val="73DDF2DA"/>
    <w:rsid w:val="73FA497D"/>
    <w:rsid w:val="744731E5"/>
    <w:rsid w:val="74BBD01D"/>
    <w:rsid w:val="74ED5379"/>
    <w:rsid w:val="750509DE"/>
    <w:rsid w:val="75DEEEC2"/>
    <w:rsid w:val="75E32345"/>
    <w:rsid w:val="767F58A8"/>
    <w:rsid w:val="76E3355F"/>
    <w:rsid w:val="76FF5125"/>
    <w:rsid w:val="771F38E1"/>
    <w:rsid w:val="776F6FFA"/>
    <w:rsid w:val="778769C8"/>
    <w:rsid w:val="77A75DCA"/>
    <w:rsid w:val="77DC22F5"/>
    <w:rsid w:val="77E4A06F"/>
    <w:rsid w:val="77F6DEDF"/>
    <w:rsid w:val="77FFC1DF"/>
    <w:rsid w:val="77FFF1B7"/>
    <w:rsid w:val="783E271A"/>
    <w:rsid w:val="78616DE9"/>
    <w:rsid w:val="78E875D7"/>
    <w:rsid w:val="79086DAD"/>
    <w:rsid w:val="79D7FD79"/>
    <w:rsid w:val="79EE5BA4"/>
    <w:rsid w:val="7A894339"/>
    <w:rsid w:val="7AD284E8"/>
    <w:rsid w:val="7ADB04E0"/>
    <w:rsid w:val="7AFF7572"/>
    <w:rsid w:val="7B6C7DFB"/>
    <w:rsid w:val="7BBFBED0"/>
    <w:rsid w:val="7BC3E394"/>
    <w:rsid w:val="7BF638AD"/>
    <w:rsid w:val="7BFD7F4B"/>
    <w:rsid w:val="7C1F3737"/>
    <w:rsid w:val="7CBFC87B"/>
    <w:rsid w:val="7CFE0F48"/>
    <w:rsid w:val="7CFFE4AE"/>
    <w:rsid w:val="7D272ABC"/>
    <w:rsid w:val="7D7EC23E"/>
    <w:rsid w:val="7DAEB4DE"/>
    <w:rsid w:val="7DBF2DE9"/>
    <w:rsid w:val="7E8ADEBF"/>
    <w:rsid w:val="7EECB04E"/>
    <w:rsid w:val="7EEF11D3"/>
    <w:rsid w:val="7EFE4840"/>
    <w:rsid w:val="7F0971A6"/>
    <w:rsid w:val="7F1D62E7"/>
    <w:rsid w:val="7F1F7A0C"/>
    <w:rsid w:val="7F3F679B"/>
    <w:rsid w:val="7F4FC4EF"/>
    <w:rsid w:val="7F5B0BA7"/>
    <w:rsid w:val="7F5E4D54"/>
    <w:rsid w:val="7F6B96E0"/>
    <w:rsid w:val="7F6E0135"/>
    <w:rsid w:val="7F79F205"/>
    <w:rsid w:val="7F7FD11A"/>
    <w:rsid w:val="7F9E1821"/>
    <w:rsid w:val="7FA30C79"/>
    <w:rsid w:val="7FA79C44"/>
    <w:rsid w:val="7FAF8ABF"/>
    <w:rsid w:val="7FB7269E"/>
    <w:rsid w:val="7FC7E944"/>
    <w:rsid w:val="7FC96657"/>
    <w:rsid w:val="7FDA9588"/>
    <w:rsid w:val="7FDF220F"/>
    <w:rsid w:val="7FEDC5F7"/>
    <w:rsid w:val="7FEDD9DE"/>
    <w:rsid w:val="7FF5890D"/>
    <w:rsid w:val="7FF93490"/>
    <w:rsid w:val="7FFB0A87"/>
    <w:rsid w:val="7FFB1B92"/>
    <w:rsid w:val="7FFFC7E2"/>
    <w:rsid w:val="7FFFD934"/>
    <w:rsid w:val="963D30A1"/>
    <w:rsid w:val="99FF2014"/>
    <w:rsid w:val="9FDFBF86"/>
    <w:rsid w:val="A6DD0D7F"/>
    <w:rsid w:val="ACFF4FBB"/>
    <w:rsid w:val="ADC6F725"/>
    <w:rsid w:val="AF7F9662"/>
    <w:rsid w:val="B7CF06AB"/>
    <w:rsid w:val="B7CFA926"/>
    <w:rsid w:val="B7F8786B"/>
    <w:rsid w:val="B8CD2E07"/>
    <w:rsid w:val="B9FF6A39"/>
    <w:rsid w:val="BABB6AA1"/>
    <w:rsid w:val="BB2F4199"/>
    <w:rsid w:val="BCFFB442"/>
    <w:rsid w:val="BD079C78"/>
    <w:rsid w:val="BD3EE8A9"/>
    <w:rsid w:val="BD733540"/>
    <w:rsid w:val="BDEF14EC"/>
    <w:rsid w:val="BF3735D5"/>
    <w:rsid w:val="BF7F09AC"/>
    <w:rsid w:val="BFBFA389"/>
    <w:rsid w:val="BFD475C3"/>
    <w:rsid w:val="BFDE5EA6"/>
    <w:rsid w:val="CF6FC6F3"/>
    <w:rsid w:val="CFD3D3D7"/>
    <w:rsid w:val="CFDF1009"/>
    <w:rsid w:val="D7D7B16A"/>
    <w:rsid w:val="D7EF96B4"/>
    <w:rsid w:val="D7FFF1C1"/>
    <w:rsid w:val="D8D6DB89"/>
    <w:rsid w:val="DB6F4CAB"/>
    <w:rsid w:val="DB777682"/>
    <w:rsid w:val="DD1FB521"/>
    <w:rsid w:val="DD3B0AB7"/>
    <w:rsid w:val="DDB51ED0"/>
    <w:rsid w:val="DEFBFEAE"/>
    <w:rsid w:val="DF1F3B80"/>
    <w:rsid w:val="DF660675"/>
    <w:rsid w:val="DF6F9789"/>
    <w:rsid w:val="DFE9BE81"/>
    <w:rsid w:val="DFFFA9E8"/>
    <w:rsid w:val="DFFFE469"/>
    <w:rsid w:val="E2279825"/>
    <w:rsid w:val="E5F4E9DC"/>
    <w:rsid w:val="E70FE695"/>
    <w:rsid w:val="E7AF764F"/>
    <w:rsid w:val="EB2E368B"/>
    <w:rsid w:val="ECFED1BC"/>
    <w:rsid w:val="ED1D69BB"/>
    <w:rsid w:val="ED7FD312"/>
    <w:rsid w:val="EE640CBB"/>
    <w:rsid w:val="EED9F1CB"/>
    <w:rsid w:val="EEFF8B76"/>
    <w:rsid w:val="EF2E1AC6"/>
    <w:rsid w:val="EF53993F"/>
    <w:rsid w:val="EF6FD633"/>
    <w:rsid w:val="EFBFB2F4"/>
    <w:rsid w:val="EFBFFA21"/>
    <w:rsid w:val="F2BEBCB8"/>
    <w:rsid w:val="F36FB518"/>
    <w:rsid w:val="F3DE1A04"/>
    <w:rsid w:val="F3F722E5"/>
    <w:rsid w:val="F4FBCD07"/>
    <w:rsid w:val="F69A0D49"/>
    <w:rsid w:val="F9BB9325"/>
    <w:rsid w:val="FA5F1E70"/>
    <w:rsid w:val="FA5FDB97"/>
    <w:rsid w:val="FAD19CAA"/>
    <w:rsid w:val="FB3E0847"/>
    <w:rsid w:val="FB7F486A"/>
    <w:rsid w:val="FBA741FC"/>
    <w:rsid w:val="FBF3A2AA"/>
    <w:rsid w:val="FBFF5B2E"/>
    <w:rsid w:val="FCF9B791"/>
    <w:rsid w:val="FD7FFE2B"/>
    <w:rsid w:val="FDDCE01D"/>
    <w:rsid w:val="FDEE196B"/>
    <w:rsid w:val="FDF1118E"/>
    <w:rsid w:val="FDFE6575"/>
    <w:rsid w:val="FDFF9AAC"/>
    <w:rsid w:val="FE67C24E"/>
    <w:rsid w:val="FEBC760E"/>
    <w:rsid w:val="FEBE7496"/>
    <w:rsid w:val="FEDFDDC2"/>
    <w:rsid w:val="FEED32F6"/>
    <w:rsid w:val="FEF781DD"/>
    <w:rsid w:val="FEFC5307"/>
    <w:rsid w:val="FF3F7E3F"/>
    <w:rsid w:val="FF731720"/>
    <w:rsid w:val="FF7D04CB"/>
    <w:rsid w:val="FFABDCD9"/>
    <w:rsid w:val="FFBA12D7"/>
    <w:rsid w:val="FFBF9ACD"/>
    <w:rsid w:val="FFC535D3"/>
    <w:rsid w:val="FFCBD314"/>
    <w:rsid w:val="FFDF8677"/>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oleObject" Target="embeddings/oleObject2.bin"/><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4733552631579"/>
          <c:y val="0.0056327450244085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2024年度本年收入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806.29</c:v>
                </c:pt>
                <c:pt idx="1">
                  <c:v>10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2024年度本年支出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689.15</c:v>
                </c:pt>
                <c:pt idx="1">
                  <c:v>127.14</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3002799469574"/>
          <c:y val="0.087464768437217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994.31</c:v>
                </c:pt>
                <c:pt idx="1">
                  <c:v>806.29</c:v>
                </c:pt>
              </c:numCache>
            </c:numRef>
          </c:val>
        </c:ser>
        <c:dLbls>
          <c:showLegendKey val="0"/>
          <c:showVal val="1"/>
          <c:showCatName val="0"/>
          <c:showSerName val="0"/>
          <c:showPercent val="0"/>
          <c:showBubbleSize val="0"/>
        </c:dLbls>
        <c:gapWidth val="219"/>
        <c:overlap val="-27"/>
        <c:axId val="817817309"/>
        <c:axId val="604508397"/>
      </c:barChart>
      <c:catAx>
        <c:axId val="8178173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508397"/>
        <c:crosses val="autoZero"/>
        <c:auto val="1"/>
        <c:lblAlgn val="ctr"/>
        <c:lblOffset val="100"/>
        <c:noMultiLvlLbl val="0"/>
      </c:catAx>
      <c:valAx>
        <c:axId val="6045083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8173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568.88</c:v>
                </c:pt>
                <c:pt idx="1">
                  <c:v>155.45</c:v>
                </c:pt>
                <c:pt idx="2">
                  <c:v>37.02</c:v>
                </c:pt>
                <c:pt idx="3">
                  <c:v>44.93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2024年度“三公”经费财政拨款支出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0.71</c:v>
                </c:pt>
                <c:pt idx="1">
                  <c:v>0.55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20</TotalTime>
  <ScaleCrop>false</ScaleCrop>
  <LinksUpToDate>false</LinksUpToDate>
  <CharactersWithSpaces>8692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2020-08-11T17:49:00Z</dcterms:created>
  <dc:creator>曹颖</dc:creator>
  <cp:lastModifiedBy>user</cp:lastModifiedBy>
  <cp:lastPrinted>2025-08-09T01:34:00Z</cp:lastPrinted>
  <dcterms:modified xsi:type="dcterms:W3CDTF">2025-09-15T11:40:19Z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04787F2533EB45DC91BCDE4AB213247F</vt:lpwstr>
  </property>
</Properties>
</file>