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000000"/>
          <w:sz w:val="72"/>
          <w:szCs w:val="72"/>
        </w:rPr>
      </w:pPr>
      <w:bookmarkStart w:id="0" w:name="_Toc15306267"/>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 w:name="_Toc15396597"/>
      <w:bookmarkStart w:id="2" w:name="_Toc15377425"/>
      <w:bookmarkStart w:id="3" w:name="_Toc15378441"/>
      <w:bookmarkStart w:id="4" w:name="_Toc15377193"/>
      <w:bookmarkStart w:id="5" w:name="_Toc15396475"/>
      <w:bookmarkStart w:id="6" w:name="_Toc51100199"/>
      <w:r>
        <w:rPr>
          <w:rFonts w:hint="default" w:ascii="Times New Roman" w:hAnsi="Times New Roman" w:eastAsia="黑体" w:cs="Times New Roman"/>
          <w:color w:val="000000"/>
          <w:sz w:val="72"/>
          <w:szCs w:val="72"/>
        </w:rPr>
        <w:t>202</w:t>
      </w:r>
      <w:r>
        <w:rPr>
          <w:rFonts w:hint="default" w:ascii="Times New Roman" w:hAnsi="Times New Roman" w:eastAsia="黑体" w:cs="Times New Roman"/>
          <w:color w:val="000000"/>
          <w:sz w:val="72"/>
          <w:szCs w:val="72"/>
          <w:lang w:val="en-US" w:eastAsia="zh-CN"/>
        </w:rPr>
        <w:t>1</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7" w:name="_Toc51100200"/>
      <w:bookmarkStart w:id="8" w:name="_Toc15377194"/>
      <w:bookmarkStart w:id="9" w:name="_Toc15396598"/>
      <w:bookmarkStart w:id="10" w:name="_Toc15396476"/>
      <w:bookmarkStart w:id="11" w:name="_Toc15377426"/>
      <w:bookmarkStart w:id="12" w:name="_Toc15378442"/>
      <w:r>
        <w:rPr>
          <w:rFonts w:hint="default" w:ascii="Times New Roman" w:hAnsi="Times New Roman" w:eastAsia="方正小标宋简体" w:cs="Times New Roman"/>
          <w:color w:val="000000"/>
          <w:sz w:val="72"/>
          <w:szCs w:val="72"/>
        </w:rPr>
        <w:t>四川省</w:t>
      </w:r>
      <w:bookmarkEnd w:id="0"/>
      <w:bookmarkStart w:id="13" w:name="_Toc15306268"/>
      <w:r>
        <w:rPr>
          <w:rFonts w:hint="default" w:ascii="Times New Roman" w:hAnsi="Times New Roman" w:eastAsia="方正小标宋简体" w:cs="Times New Roman"/>
          <w:color w:val="000000"/>
          <w:sz w:val="72"/>
          <w:szCs w:val="72"/>
        </w:rPr>
        <w:t>攀枝花市档案馆</w:t>
      </w:r>
      <w:bookmarkEnd w:id="7"/>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4" w:name="_Toc51100201"/>
      <w:r>
        <w:rPr>
          <w:rFonts w:hint="default" w:ascii="Times New Roman" w:hAnsi="Times New Roman" w:eastAsia="方正小标宋简体" w:cs="Times New Roman"/>
          <w:color w:val="000000"/>
          <w:sz w:val="72"/>
          <w:szCs w:val="72"/>
        </w:rPr>
        <w:t>部门决算</w:t>
      </w:r>
      <w:bookmarkEnd w:id="8"/>
      <w:bookmarkEnd w:id="9"/>
      <w:bookmarkEnd w:id="10"/>
      <w:bookmarkEnd w:id="11"/>
      <w:bookmarkEnd w:id="12"/>
      <w:bookmarkEnd w:id="13"/>
      <w:bookmarkEnd w:id="14"/>
    </w:p>
    <w:p>
      <w:pPr>
        <w:adjustRightInd w:val="0"/>
        <w:snapToGrid w:val="0"/>
        <w:spacing w:line="360" w:lineRule="auto"/>
        <w:jc w:val="center"/>
        <w:outlineLvl w:val="0"/>
        <w:rPr>
          <w:rFonts w:hint="default" w:ascii="Times New Roman" w:hAnsi="Times New Roman" w:eastAsia="方正小标宋简体" w:cs="Times New Roman"/>
          <w:color w:val="000000"/>
          <w:sz w:val="52"/>
          <w:szCs w:val="52"/>
        </w:rPr>
      </w:pPr>
    </w:p>
    <w:p>
      <w:pPr>
        <w:widowControl/>
        <w:jc w:val="center"/>
        <w:rPr>
          <w:rFonts w:hint="default" w:ascii="Times New Roman" w:hAnsi="Times New Roman" w:eastAsia="方正小标宋简体" w:cs="Times New Roman"/>
          <w:color w:val="000000"/>
          <w:sz w:val="36"/>
          <w:szCs w:val="36"/>
        </w:rPr>
      </w:pPr>
    </w:p>
    <w:p>
      <w:pPr>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widowControl/>
        <w:jc w:val="right"/>
        <w:rPr>
          <w:rFonts w:hint="default" w:ascii="Times New Roman" w:hAnsi="Times New Roman" w:eastAsia="方正小标宋简体" w:cs="Times New Roman"/>
          <w:sz w:val="36"/>
          <w:szCs w:val="36"/>
        </w:rPr>
      </w:pPr>
    </w:p>
    <w:p>
      <w:pPr>
        <w:widowControl/>
        <w:jc w:val="center"/>
        <w:rPr>
          <w:rFonts w:hint="default" w:ascii="Times New Roman" w:hAnsi="Times New Roman" w:eastAsia="黑体" w:cs="Times New Roman"/>
          <w:color w:val="000000"/>
          <w:sz w:val="48"/>
          <w:szCs w:val="48"/>
        </w:rPr>
      </w:pPr>
      <w:r>
        <w:rPr>
          <w:rFonts w:hint="default" w:ascii="Times New Roman" w:hAnsi="Times New Roman" w:eastAsia="方正小标宋简体" w:cs="Times New Roman"/>
          <w:sz w:val="36"/>
          <w:szCs w:val="36"/>
        </w:rPr>
        <w:br w:type="page"/>
      </w:r>
      <w:r>
        <w:rPr>
          <w:rFonts w:hint="default" w:ascii="Times New Roman" w:hAnsi="Times New Roman" w:eastAsia="黑体" w:cs="Times New Roman"/>
          <w:color w:val="000000"/>
          <w:sz w:val="48"/>
          <w:szCs w:val="48"/>
        </w:rPr>
        <w:t>目录</w:t>
      </w:r>
    </w:p>
    <w:p>
      <w:pPr>
        <w:pStyle w:val="11"/>
        <w:rPr>
          <w:rFonts w:hint="default" w:ascii="Times New Roman" w:hAnsi="Times New Roman" w:cs="Times New Roman"/>
        </w:rPr>
      </w:pPr>
      <w:r>
        <w:rPr>
          <w:rFonts w:hint="default" w:ascii="Times New Roman" w:hAnsi="Times New Roman" w:cs="Times New Roman" w:eastAsiaTheme="majorEastAsia"/>
          <w:color w:val="000000"/>
        </w:rPr>
        <w:t>公开时间：202</w:t>
      </w:r>
      <w:r>
        <w:rPr>
          <w:rFonts w:hint="default" w:ascii="Times New Roman" w:hAnsi="Times New Roman" w:cs="Times New Roman" w:eastAsiaTheme="majorEastAsia"/>
          <w:color w:val="000000"/>
          <w:lang w:val="en-US" w:eastAsia="zh-CN"/>
        </w:rPr>
        <w:t>2</w:t>
      </w:r>
      <w:r>
        <w:rPr>
          <w:rFonts w:hint="default" w:ascii="Times New Roman" w:hAnsi="Times New Roman" w:cs="Times New Roman" w:eastAsiaTheme="majorEastAsia"/>
          <w:color w:val="000000"/>
        </w:rPr>
        <w:t>年9月</w:t>
      </w:r>
      <w:r>
        <w:rPr>
          <w:rFonts w:hint="eastAsia" w:ascii="Times New Roman" w:hAnsi="Times New Roman" w:cs="Times New Roman" w:eastAsiaTheme="majorEastAsia"/>
          <w:color w:val="000000"/>
          <w:lang w:val="en-US" w:eastAsia="zh-CN"/>
        </w:rPr>
        <w:t>13</w:t>
      </w:r>
      <w:r>
        <w:rPr>
          <w:rFonts w:hint="default" w:ascii="Times New Roman" w:hAnsi="Times New Roman" w:cs="Times New Roman" w:eastAsiaTheme="majorEastAsia"/>
          <w:color w:val="000000"/>
        </w:rPr>
        <w:t>日</w:t>
      </w:r>
      <w:r>
        <w:rPr>
          <w:rFonts w:hint="default" w:ascii="Times New Roman" w:hAnsi="Times New Roman" w:cs="Times New Roman" w:eastAsiaTheme="majorEastAsia"/>
          <w:color w:val="000000"/>
        </w:rPr>
        <w:fldChar w:fldCharType="begin"/>
      </w:r>
      <w:r>
        <w:rPr>
          <w:rFonts w:hint="default" w:ascii="Times New Roman" w:hAnsi="Times New Roman" w:cs="Times New Roman" w:eastAsiaTheme="majorEastAsia"/>
          <w:color w:val="000000"/>
        </w:rPr>
        <w:instrText xml:space="preserve"> TOC \o "1-2" \h \z \u </w:instrText>
      </w:r>
      <w:r>
        <w:rPr>
          <w:rFonts w:hint="default" w:ascii="Times New Roman" w:hAnsi="Times New Roman" w:cs="Times New Roman" w:eastAsiaTheme="majorEastAsia"/>
          <w:color w:val="000000"/>
        </w:rPr>
        <w:fldChar w:fldCharType="separate"/>
      </w:r>
    </w:p>
    <w:p>
      <w:pPr>
        <w:pStyle w:val="11"/>
        <w:rPr>
          <w:rFonts w:hint="default" w:ascii="Times New Roman" w:hAnsi="Times New Roman" w:cs="Times New Roman"/>
        </w:rPr>
      </w:pPr>
    </w:p>
    <w:p>
      <w:pPr>
        <w:pStyle w:val="11"/>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"_Toc51100202" </w:instrText>
      </w:r>
      <w:r>
        <w:rPr>
          <w:rFonts w:hint="default" w:ascii="Times New Roman" w:hAnsi="Times New Roman" w:cs="Times New Roman"/>
        </w:rPr>
        <w:fldChar w:fldCharType="separate"/>
      </w:r>
      <w:r>
        <w:rPr>
          <w:rStyle w:val="16"/>
          <w:rFonts w:hint="default" w:ascii="Times New Roman" w:hAnsi="Times New Roman" w:cs="Times New Roman"/>
        </w:rPr>
        <w:t>第一部分 部门概况</w:t>
      </w:r>
      <w:r>
        <w:rPr>
          <w:rFonts w:hint="default" w:ascii="Times New Roman" w:hAnsi="Times New Roman" w:cs="Times New Roman"/>
        </w:rPr>
        <w:tab/>
      </w:r>
      <w:r>
        <w:rPr>
          <w:rFonts w:hint="default" w:ascii="Times New Roman" w:hAnsi="Times New Roman" w:cs="Times New Roman"/>
        </w:rPr>
        <w:t>4</w:t>
      </w:r>
      <w:r>
        <w:rPr>
          <w:rFonts w:hint="default" w:ascii="Times New Roman" w:hAnsi="Times New Roman" w:cs="Times New Roman"/>
        </w:rPr>
        <w:fldChar w:fldCharType="end"/>
      </w:r>
    </w:p>
    <w:p>
      <w:pPr>
        <w:pStyle w:val="11"/>
        <w:rPr>
          <w:rStyle w:val="16"/>
          <w:rFonts w:hint="default" w:ascii="Times New Roman" w:hAnsi="Times New Roman" w:cs="Times New Roman"/>
          <w:color w:val="auto"/>
          <w:u w:val="none"/>
        </w:rPr>
      </w:pPr>
      <w:r>
        <w:rPr>
          <w:rFonts w:hint="default" w:ascii="Times New Roman" w:hAnsi="Times New Roman" w:cs="Times New Roman" w:eastAsiaTheme="majorEastAsia"/>
          <w:sz w:val="24"/>
        </w:rPr>
        <w:t>一</w:t>
      </w:r>
      <w:r>
        <w:rPr>
          <w:rStyle w:val="16"/>
          <w:rFonts w:hint="default" w:ascii="Times New Roman" w:hAnsi="Times New Roman" w:cs="Times New Roman"/>
          <w:color w:val="auto"/>
          <w:u w:val="none"/>
        </w:rPr>
        <w:t>、基本职能及主要工作</w:t>
      </w:r>
      <w:r>
        <w:rPr>
          <w:rStyle w:val="16"/>
          <w:rFonts w:hint="default" w:ascii="Times New Roman" w:hAnsi="Times New Roman" w:cs="Times New Roman"/>
          <w:color w:val="auto"/>
          <w:u w:val="none"/>
        </w:rPr>
        <w:tab/>
      </w:r>
      <w:r>
        <w:rPr>
          <w:rStyle w:val="16"/>
          <w:rFonts w:hint="default" w:ascii="Times New Roman" w:hAnsi="Times New Roman" w:cs="Times New Roman"/>
          <w:color w:val="auto"/>
          <w:u w:val="none"/>
        </w:rPr>
        <w:t>4</w:t>
      </w:r>
    </w:p>
    <w:p>
      <w:pPr>
        <w:pStyle w:val="11"/>
        <w:rPr>
          <w:rFonts w:hint="default" w:ascii="Times New Roman" w:hAnsi="Times New Roman" w:cs="Times New Roman" w:eastAsiaTheme="majorEastAsia"/>
          <w:sz w:val="24"/>
        </w:rPr>
      </w:pPr>
      <w:r>
        <w:rPr>
          <w:rStyle w:val="16"/>
          <w:rFonts w:hint="default" w:ascii="Times New Roman" w:hAnsi="Times New Roman" w:cs="Times New Roman"/>
          <w:color w:val="auto"/>
          <w:u w:val="none"/>
        </w:rPr>
        <w:t>二、机构设置</w:t>
      </w:r>
      <w:r>
        <w:rPr>
          <w:rStyle w:val="16"/>
          <w:rFonts w:hint="default" w:ascii="Times New Roman" w:hAnsi="Times New Roman" w:cs="Times New Roman"/>
          <w:color w:val="auto"/>
          <w:u w:val="none"/>
        </w:rPr>
        <w:tab/>
      </w:r>
      <w:r>
        <w:rPr>
          <w:rFonts w:hint="default" w:ascii="Times New Roman" w:hAnsi="Times New Roman" w:cs="Times New Roman" w:eastAsiaTheme="majorEastAsia"/>
          <w:sz w:val="24"/>
        </w:rPr>
        <w:t>4</w:t>
      </w:r>
    </w:p>
    <w:p>
      <w:pPr>
        <w:rPr>
          <w:rFonts w:hint="default" w:ascii="Times New Roman" w:hAnsi="Times New Roman" w:cs="Times New Roman"/>
        </w:rPr>
      </w:pPr>
    </w:p>
    <w:p>
      <w:pPr>
        <w:pStyle w:val="11"/>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"_Toc51100203" </w:instrText>
      </w:r>
      <w:r>
        <w:rPr>
          <w:rFonts w:hint="default" w:ascii="Times New Roman" w:hAnsi="Times New Roman" w:cs="Times New Roman"/>
        </w:rPr>
        <w:fldChar w:fldCharType="separate"/>
      </w:r>
      <w:r>
        <w:rPr>
          <w:rStyle w:val="16"/>
          <w:rFonts w:hint="default" w:ascii="Times New Roman" w:hAnsi="Times New Roman" w:cs="Times New Roman"/>
        </w:rPr>
        <w:t>第二部分 202</w:t>
      </w:r>
      <w:r>
        <w:rPr>
          <w:rStyle w:val="16"/>
          <w:rFonts w:hint="default" w:ascii="Times New Roman" w:hAnsi="Times New Roman" w:cs="Times New Roman"/>
          <w:lang w:val="en-US" w:eastAsia="zh-CN"/>
        </w:rPr>
        <w:t>1</w:t>
      </w:r>
      <w:r>
        <w:rPr>
          <w:rStyle w:val="16"/>
          <w:rFonts w:hint="default" w:ascii="Times New Roman" w:hAnsi="Times New Roman" w:cs="Times New Roman"/>
        </w:rPr>
        <w:t>年度部门决算情况说明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_Toc51100203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"_Toc51100204"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一、收</w:t>
      </w:r>
      <w:r>
        <w:rPr>
          <w:rStyle w:val="16"/>
          <w:rFonts w:hint="default" w:ascii="Times New Roman" w:hAnsi="Times New Roman" w:eastAsia="仿宋" w:cs="Times New Roman"/>
          <w:bCs/>
          <w:sz w:val="28"/>
          <w:szCs w:val="28"/>
        </w:rPr>
        <w:t>入支出决算总体情况说明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_Toc51100204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"_Toc51100205"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二、收</w:t>
      </w:r>
      <w:r>
        <w:rPr>
          <w:rStyle w:val="16"/>
          <w:rFonts w:hint="default" w:ascii="Times New Roman" w:hAnsi="Times New Roman" w:eastAsia="仿宋" w:cs="Times New Roman"/>
          <w:bCs/>
          <w:sz w:val="28"/>
          <w:szCs w:val="28"/>
        </w:rPr>
        <w:t>入决算情况说明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_Toc51100205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"_Toc51100207"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三、支</w:t>
      </w:r>
      <w:r>
        <w:rPr>
          <w:rStyle w:val="16"/>
          <w:rFonts w:hint="default" w:ascii="Times New Roman" w:hAnsi="Times New Roman" w:eastAsia="仿宋" w:cs="Times New Roman"/>
          <w:bCs/>
          <w:sz w:val="28"/>
          <w:szCs w:val="28"/>
        </w:rPr>
        <w:t>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_Toc51100207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"_Toc51100208"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四、财</w:t>
      </w:r>
      <w:r>
        <w:rPr>
          <w:rStyle w:val="16"/>
          <w:rFonts w:hint="default" w:ascii="Times New Roman" w:hAnsi="Times New Roman" w:eastAsia="仿宋" w:cs="Times New Roman"/>
          <w:bCs/>
          <w:sz w:val="28"/>
          <w:szCs w:val="28"/>
        </w:rPr>
        <w:t>政拨款收入支出决算总体情况说明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_Toc51100208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"_Toc51100209"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五、</w:t>
      </w:r>
      <w:r>
        <w:rPr>
          <w:rStyle w:val="16"/>
          <w:rFonts w:hint="default" w:ascii="Times New Roman" w:hAnsi="Times New Roman" w:eastAsia="仿宋" w:cs="Times New Roman"/>
          <w:b/>
          <w:sz w:val="28"/>
          <w:szCs w:val="28"/>
        </w:rPr>
        <w:t>一</w:t>
      </w:r>
      <w:r>
        <w:rPr>
          <w:rStyle w:val="16"/>
          <w:rFonts w:hint="default" w:ascii="Times New Roman" w:hAnsi="Times New Roman" w:eastAsia="仿宋" w:cs="Times New Roman"/>
          <w:bCs/>
          <w:sz w:val="28"/>
          <w:szCs w:val="28"/>
        </w:rPr>
        <w:t>般公共预算财政拨款支出决算情况说明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_Toc51100209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"_Toc51100210"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六</w:t>
      </w:r>
      <w:r>
        <w:rPr>
          <w:rStyle w:val="16"/>
          <w:rFonts w:hint="default" w:ascii="Times New Roman" w:hAnsi="Times New Roman" w:eastAsia="仿宋" w:cs="Times New Roman"/>
          <w:b/>
          <w:sz w:val="28"/>
          <w:szCs w:val="28"/>
        </w:rPr>
        <w:t>、一</w:t>
      </w:r>
      <w:r>
        <w:rPr>
          <w:rStyle w:val="16"/>
          <w:rFonts w:hint="default" w:ascii="Times New Roman" w:hAnsi="Times New Roman" w:eastAsia="仿宋" w:cs="Times New Roman"/>
          <w:bCs/>
          <w:sz w:val="28"/>
          <w:szCs w:val="28"/>
        </w:rPr>
        <w:t>般公共预算财政拨款基本支出决算情况说明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_Toc51100210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"_Toc51100211"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七、</w:t>
      </w:r>
      <w:r>
        <w:rPr>
          <w:rStyle w:val="16"/>
          <w:rFonts w:hint="default" w:ascii="Times New Roman" w:hAnsi="Times New Roman" w:eastAsia="仿宋" w:cs="Times New Roman"/>
          <w:b/>
          <w:bCs/>
          <w:sz w:val="28"/>
          <w:szCs w:val="28"/>
        </w:rPr>
        <w:t>“</w:t>
      </w:r>
      <w:r>
        <w:rPr>
          <w:rStyle w:val="16"/>
          <w:rFonts w:hint="default" w:ascii="Times New Roman" w:hAnsi="Times New Roman" w:eastAsia="仿宋" w:cs="Times New Roman"/>
          <w:bCs/>
          <w:sz w:val="28"/>
          <w:szCs w:val="28"/>
        </w:rPr>
        <w:t>三公”经费财政拨款支出决算情况说明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_Toc51100211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"_Toc51100212"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八、</w:t>
      </w:r>
      <w:r>
        <w:rPr>
          <w:rStyle w:val="16"/>
          <w:rFonts w:hint="default" w:ascii="Times New Roman" w:hAnsi="Times New Roman" w:eastAsia="仿宋" w:cs="Times New Roman"/>
          <w:bCs/>
          <w:sz w:val="28"/>
          <w:szCs w:val="28"/>
        </w:rPr>
        <w:t>政府性基金预算支出决算情况说明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_Toc51100212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"_Toc51100213" </w:instrText>
      </w:r>
      <w:r>
        <w:rPr>
          <w:rFonts w:hint="default" w:ascii="Times New Roman" w:hAnsi="Times New Roman" w:cs="Times New Roman"/>
        </w:rPr>
        <w:fldChar w:fldCharType="separate"/>
      </w:r>
      <w:r>
        <w:rPr>
          <w:rStyle w:val="16"/>
          <w:rFonts w:hint="default" w:ascii="Times New Roman" w:hAnsi="Times New Roman" w:eastAsia="仿宋" w:cs="Times New Roman"/>
          <w:bCs/>
          <w:sz w:val="28"/>
          <w:szCs w:val="28"/>
        </w:rPr>
        <w:t>九、国有资本经营预算支出决算情况说明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_Toc51100213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left" w:pos="1260"/>
        </w:tabs>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"_Toc51100214"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十</w:t>
      </w:r>
      <w:r>
        <w:rPr>
          <w:rStyle w:val="16"/>
          <w:rFonts w:hint="default" w:ascii="Times New Roman" w:hAnsi="Times New Roman" w:eastAsia="仿宋" w:cs="Times New Roman"/>
          <w:sz w:val="28"/>
          <w:szCs w:val="28"/>
          <w:lang w:eastAsia="zh-CN"/>
        </w:rPr>
        <w:t>、</w:t>
      </w:r>
      <w:r>
        <w:rPr>
          <w:rStyle w:val="16"/>
          <w:rFonts w:hint="default" w:ascii="Times New Roman" w:hAnsi="Times New Roman" w:eastAsia="仿宋" w:cs="Times New Roman"/>
          <w:sz w:val="28"/>
          <w:szCs w:val="28"/>
        </w:rPr>
        <w:t>其他重要事项的情况说明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_Toc51100214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"_Toc51100215" </w:instrText>
      </w:r>
      <w:r>
        <w:rPr>
          <w:rFonts w:hint="default" w:ascii="Times New Roman" w:hAnsi="Times New Roman" w:cs="Times New Roman"/>
        </w:rPr>
        <w:fldChar w:fldCharType="separate"/>
      </w:r>
      <w:r>
        <w:rPr>
          <w:rStyle w:val="16"/>
          <w:rFonts w:hint="default" w:ascii="Times New Roman" w:hAnsi="Times New Roman" w:cs="Times New Roman"/>
          <w:bCs/>
          <w:kern w:val="44"/>
        </w:rPr>
        <w:t>第三部分</w:t>
      </w:r>
      <w:r>
        <w:rPr>
          <w:rStyle w:val="16"/>
          <w:rFonts w:hint="default" w:ascii="Times New Roman" w:hAnsi="Times New Roman" w:eastAsia="仿宋" w:cs="Times New Roman"/>
          <w:b/>
        </w:rPr>
        <w:t xml:space="preserve"> 名</w:t>
      </w:r>
      <w:r>
        <w:rPr>
          <w:rStyle w:val="16"/>
          <w:rFonts w:hint="default" w:ascii="Times New Roman" w:hAnsi="Times New Roman" w:eastAsia="仿宋" w:cs="Times New Roman"/>
          <w:bCs/>
          <w:kern w:val="44"/>
        </w:rPr>
        <w:t>词解释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_Toc51100215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"_Toc51100216" </w:instrText>
      </w:r>
      <w:r>
        <w:rPr>
          <w:rFonts w:hint="default" w:ascii="Times New Roman" w:hAnsi="Times New Roman" w:cs="Times New Roman"/>
        </w:rPr>
        <w:fldChar w:fldCharType="separate"/>
      </w:r>
      <w:r>
        <w:rPr>
          <w:rStyle w:val="16"/>
          <w:rFonts w:hint="default" w:ascii="Times New Roman" w:hAnsi="Times New Roman" w:eastAsia="仿宋" w:cs="Times New Roman"/>
          <w:kern w:val="44"/>
          <w:sz w:val="28"/>
          <w:szCs w:val="28"/>
        </w:rPr>
        <w:t>附件1</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_Toc51100216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"_Toc51100219" </w:instrText>
      </w:r>
      <w:r>
        <w:rPr>
          <w:rFonts w:hint="default" w:ascii="Times New Roman" w:hAnsi="Times New Roman" w:cs="Times New Roman"/>
        </w:rPr>
        <w:fldChar w:fldCharType="separate"/>
      </w:r>
      <w:r>
        <w:rPr>
          <w:rStyle w:val="16"/>
          <w:rFonts w:hint="default" w:ascii="Times New Roman" w:hAnsi="Times New Roman" w:eastAsia="仿宋" w:cs="Times New Roman"/>
          <w:kern w:val="44"/>
          <w:sz w:val="28"/>
          <w:szCs w:val="28"/>
        </w:rPr>
        <w:t>附件2</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_Toc51100219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"_Toc51100220" </w:instrText>
      </w:r>
      <w:r>
        <w:rPr>
          <w:rFonts w:hint="default" w:ascii="Times New Roman" w:hAnsi="Times New Roman" w:cs="Times New Roman"/>
        </w:rPr>
        <w:fldChar w:fldCharType="separate"/>
      </w:r>
      <w:r>
        <w:rPr>
          <w:rStyle w:val="16"/>
          <w:rFonts w:hint="default" w:ascii="Times New Roman" w:hAnsi="Times New Roman" w:cs="Times New Roman"/>
        </w:rPr>
        <w:t>第</w:t>
      </w:r>
      <w:r>
        <w:rPr>
          <w:rStyle w:val="16"/>
          <w:rFonts w:hint="default" w:ascii="Times New Roman" w:hAnsi="Times New Roman" w:cs="Times New Roman"/>
          <w:bCs/>
          <w:kern w:val="44"/>
        </w:rPr>
        <w:t>五部分 附表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_Toc51100220 \h </w:instrText>
      </w:r>
      <w:r>
        <w:rPr>
          <w:rFonts w:hint="default" w:ascii="Times New Roman" w:hAnsi="Times New Roman" w:cs="Times New Roman"/>
        </w:rPr>
        <w:fldChar w:fldCharType="separate"/>
      </w:r>
      <w:r>
        <w:rPr>
          <w:rFonts w:hint="default" w:ascii="Times New Roman" w:hAnsi="Times New Roman" w:cs="Times New Roman"/>
        </w:rPr>
        <w:t>35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"_Toc51100221"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一、收入支出决算总表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_Toc51100221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"_Toc51100222"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二、收入决算表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_Toc51100222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"_Toc51100223"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三、支出决算表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_Toc51100223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"_Toc51100224"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四、财政拨款收入支出决算总表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_Toc51100224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"_Toc51100225"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五、财政拨款支出决算明细表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_Toc51100225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7"/>
        <w:rPr>
          <w:rFonts w:hint="default" w:ascii="Times New Roman" w:hAnsi="Times New Roman" w:cs="Times New Roman"/>
        </w:rPr>
      </w:pPr>
      <w:r>
        <w:rPr>
          <w:rFonts w:hint="eastAsia" w:ascii="Times New Roman" w:hAnsi="Times New Roman" w:cs="Times New Roman"/>
          <w:lang w:val="en-US" w:eastAsia="zh-C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\l "_Toc51100226"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六、一般公共预算财政拨款支出决算表</w:t>
      </w:r>
      <w:r>
        <w:rPr>
          <w:rFonts w:hint="default" w:ascii="Times New Roman" w:hAnsi="Times New Roman" w:cs="Times New Roman"/>
        </w:rPr>
        <w:tab/>
      </w:r>
      <w:r>
        <w:rPr>
          <w:rFonts w:hint="eastAsia" w:ascii="Times New Roman" w:hAnsi="Times New Roman" w:cs="Times New Roman"/>
          <w:lang w:val="en-US" w:eastAsia="zh-CN"/>
        </w:rPr>
        <w:t>.................................................</w:t>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PAGEREF _Toc51100226 \h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35</w:t>
      </w:r>
      <w:r>
        <w:rPr>
          <w:rFonts w:hint="default" w:ascii="Times New Roman" w:hAnsi="Times New Roman" w:cs="Times New Roman"/>
          <w:sz w:val="28"/>
          <w:szCs w:val="36"/>
        </w:rPr>
        <w:fldChar w:fldCharType="end"/>
      </w:r>
      <w:r>
        <w:rPr>
          <w:rFonts w:hint="default" w:ascii="Times New Roman" w:hAnsi="Times New Roman" w:cs="Times New Roman"/>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"_Toc51100227"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七、一般公共预算财政拨款支出决算明细表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_Toc51100227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"_Toc51100228"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八、一般公共预算财政拨款基本支出决算表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_Toc51100228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"_Toc51100229"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九、一般公共预算财政拨款项目支出决算表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_Toc51100229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"_Toc51100230"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十、一般公共预算财政拨款“三公”经费支出决算表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_Toc51100230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"_Toc51100231"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十一、政府性基金预算财政拨款收入支出决算表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_Toc51100231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"_Toc51100232"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十二、政府性基金预算财政拨款“三公”经费支出决算表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_Toc51100232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"_Toc51100233" </w:instrText>
      </w:r>
      <w:r>
        <w:rPr>
          <w:rFonts w:hint="default" w:ascii="Times New Roman" w:hAnsi="Times New Roman" w:cs="Times New Roman"/>
        </w:rPr>
        <w:fldChar w:fldCharType="separate"/>
      </w:r>
      <w:r>
        <w:rPr>
          <w:rStyle w:val="16"/>
          <w:rFonts w:hint="default" w:ascii="Times New Roman" w:hAnsi="Times New Roman" w:eastAsia="仿宋" w:cs="Times New Roman"/>
          <w:sz w:val="28"/>
          <w:szCs w:val="28"/>
        </w:rPr>
        <w:t>十三、国有资本经营预算财政拨款收入支出决算表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_Toc51100233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Style w:val="16"/>
          <w:rFonts w:hint="default" w:ascii="Times New Roman" w:hAnsi="Times New Roman" w:eastAsia="仿宋" w:cs="Times New Roman"/>
          <w:color w:val="auto"/>
          <w:sz w:val="28"/>
          <w:szCs w:val="28"/>
          <w:u w:val="none"/>
        </w:rPr>
      </w:pPr>
      <w:r>
        <w:rPr>
          <w:rStyle w:val="16"/>
          <w:rFonts w:hint="default" w:ascii="Times New Roman" w:hAnsi="Times New Roman" w:eastAsia="仿宋" w:cs="Times New Roman"/>
          <w:color w:val="auto"/>
          <w:sz w:val="28"/>
          <w:szCs w:val="28"/>
          <w:u w:val="none"/>
        </w:rPr>
        <w:t>十四、国有资本经营预算财政拨款支出决算表</w:t>
      </w:r>
      <w:r>
        <w:rPr>
          <w:rStyle w:val="16"/>
          <w:rFonts w:hint="default" w:ascii="Times New Roman" w:hAnsi="Times New Roman" w:eastAsia="仿宋" w:cs="Times New Roman"/>
          <w:color w:val="auto"/>
          <w:sz w:val="28"/>
          <w:szCs w:val="28"/>
          <w:u w:val="none"/>
        </w:rPr>
        <w:tab/>
      </w:r>
      <w:r>
        <w:rPr>
          <w:rStyle w:val="16"/>
          <w:rFonts w:hint="default" w:ascii="Times New Roman" w:hAnsi="Times New Roman" w:eastAsia="仿宋" w:cs="Times New Roman"/>
          <w:color w:val="auto"/>
          <w:sz w:val="28"/>
          <w:szCs w:val="28"/>
          <w:u w:val="none"/>
        </w:rPr>
        <w:fldChar w:fldCharType="begin"/>
      </w:r>
      <w:r>
        <w:rPr>
          <w:rStyle w:val="16"/>
          <w:rFonts w:hint="default" w:ascii="Times New Roman" w:hAnsi="Times New Roman" w:eastAsia="仿宋" w:cs="Times New Roman"/>
          <w:color w:val="auto"/>
          <w:sz w:val="28"/>
          <w:szCs w:val="28"/>
          <w:u w:val="none"/>
        </w:rPr>
        <w:instrText xml:space="preserve"> PAGEREF _Toc51100233 \h </w:instrText>
      </w:r>
      <w:r>
        <w:rPr>
          <w:rStyle w:val="16"/>
          <w:rFonts w:hint="default" w:ascii="Times New Roman" w:hAnsi="Times New Roman" w:eastAsia="仿宋" w:cs="Times New Roman"/>
          <w:color w:val="auto"/>
          <w:sz w:val="28"/>
          <w:szCs w:val="28"/>
          <w:u w:val="none"/>
        </w:rPr>
        <w:fldChar w:fldCharType="separate"/>
      </w:r>
      <w:r>
        <w:rPr>
          <w:rStyle w:val="16"/>
          <w:rFonts w:hint="default" w:ascii="Times New Roman" w:hAnsi="Times New Roman" w:eastAsia="仿宋" w:cs="Times New Roman"/>
          <w:color w:val="auto"/>
          <w:sz w:val="28"/>
          <w:szCs w:val="28"/>
          <w:u w:val="none"/>
        </w:rPr>
        <w:t>35</w:t>
      </w:r>
      <w:r>
        <w:rPr>
          <w:rStyle w:val="16"/>
          <w:rFonts w:hint="default" w:ascii="Times New Roman" w:hAnsi="Times New Roman" w:eastAsia="仿宋" w:cs="Times New Roman"/>
          <w:color w:val="auto"/>
          <w:sz w:val="28"/>
          <w:szCs w:val="28"/>
          <w:u w:val="none"/>
        </w:rPr>
        <w:fldChar w:fldCharType="end"/>
      </w:r>
    </w:p>
    <w:p>
      <w:pPr>
        <w:rPr>
          <w:rFonts w:hint="default" w:ascii="Times New Roman" w:hAnsi="Times New Roman" w:cs="Times New Roman"/>
        </w:rPr>
      </w:pPr>
    </w:p>
    <w:p>
      <w:pPr>
        <w:widowControl/>
        <w:jc w:val="left"/>
        <w:rPr>
          <w:rFonts w:hint="default" w:ascii="Times New Roman" w:hAnsi="Times New Roman" w:cs="Times New Roman" w:eastAsiaTheme="majorEastAsia"/>
          <w:color w:val="000000"/>
          <w:sz w:val="28"/>
          <w:szCs w:val="28"/>
        </w:rPr>
      </w:pPr>
      <w:r>
        <w:rPr>
          <w:rFonts w:hint="default" w:ascii="Times New Roman" w:hAnsi="Times New Roman" w:cs="Times New Roman" w:eastAsiaTheme="majorEastAsia"/>
          <w:color w:val="000000"/>
          <w:sz w:val="28"/>
          <w:szCs w:val="28"/>
        </w:rPr>
        <w:fldChar w:fldCharType="end"/>
      </w:r>
    </w:p>
    <w:p>
      <w:pPr>
        <w:widowControl/>
        <w:jc w:val="left"/>
        <w:rPr>
          <w:rFonts w:hint="default" w:ascii="Times New Roman" w:hAnsi="Times New Roman" w:cs="Times New Roman" w:eastAsiaTheme="majorEastAsia"/>
          <w:bCs/>
          <w:kern w:val="44"/>
          <w:sz w:val="28"/>
          <w:szCs w:val="28"/>
        </w:rPr>
      </w:pPr>
      <w:bookmarkStart w:id="15" w:name="_Toc15377196"/>
      <w:r>
        <w:rPr>
          <w:rFonts w:hint="default" w:ascii="Times New Roman" w:hAnsi="Times New Roman" w:cs="Times New Roman" w:eastAsiaTheme="majorEastAsia"/>
          <w:b/>
          <w:sz w:val="28"/>
          <w:szCs w:val="28"/>
        </w:rPr>
        <w:br w:type="page"/>
      </w:r>
    </w:p>
    <w:p>
      <w:pPr>
        <w:pStyle w:val="3"/>
        <w:jc w:val="center"/>
        <w:rPr>
          <w:rFonts w:hint="default" w:ascii="Times New Roman" w:hAnsi="Times New Roman" w:eastAsia="黑体" w:cs="Times New Roman"/>
          <w:bCs w:val="0"/>
          <w:sz w:val="44"/>
          <w:szCs w:val="44"/>
        </w:rPr>
      </w:pPr>
      <w:bookmarkStart w:id="16" w:name="_Toc51100202"/>
      <w:r>
        <w:rPr>
          <w:rFonts w:hint="default" w:ascii="Times New Roman" w:hAnsi="Times New Roman" w:eastAsia="黑体" w:cs="Times New Roman"/>
          <w:b w:val="0"/>
          <w:sz w:val="44"/>
          <w:szCs w:val="44"/>
        </w:rPr>
        <w:t xml:space="preserve">第一部分 </w:t>
      </w:r>
      <w:r>
        <w:rPr>
          <w:rStyle w:val="25"/>
          <w:rFonts w:hint="default" w:ascii="Times New Roman" w:hAnsi="Times New Roman" w:eastAsia="黑体" w:cs="Times New Roman"/>
          <w:b w:val="0"/>
          <w:bCs w:val="0"/>
          <w:sz w:val="44"/>
          <w:szCs w:val="44"/>
        </w:rPr>
        <w:t>部门概况</w:t>
      </w:r>
      <w:bookmarkEnd w:id="15"/>
      <w:bookmarkEnd w:id="16"/>
    </w:p>
    <w:p>
      <w:pPr>
        <w:widowControl/>
        <w:adjustRightInd w:val="0"/>
        <w:snapToGrid w:val="0"/>
        <w:spacing w:line="600" w:lineRule="exact"/>
        <w:ind w:firstLine="640" w:firstLineChars="200"/>
        <w:rPr>
          <w:rFonts w:hint="default" w:ascii="Times New Roman" w:hAnsi="Times New Roman" w:eastAsia="黑体" w:cs="Times New Roman"/>
          <w:bCs/>
          <w:color w:val="000000"/>
          <w:sz w:val="32"/>
          <w:szCs w:val="32"/>
        </w:rPr>
      </w:pPr>
      <w:bookmarkStart w:id="17" w:name="_Toc15377197"/>
      <w:r>
        <w:rPr>
          <w:rFonts w:hint="default" w:ascii="Times New Roman" w:hAnsi="Times New Roman" w:eastAsia="黑体" w:cs="Times New Roman"/>
          <w:bCs/>
          <w:color w:val="000000"/>
          <w:sz w:val="32"/>
          <w:szCs w:val="32"/>
        </w:rPr>
        <w:t>一、基本职能及主要工作</w:t>
      </w:r>
      <w:bookmarkEnd w:id="17"/>
    </w:p>
    <w:p>
      <w:pPr>
        <w:pStyle w:val="2"/>
        <w:adjustRightInd w:val="0"/>
        <w:snapToGrid w:val="0"/>
        <w:spacing w:before="93" w:line="600" w:lineRule="exact"/>
        <w:ind w:firstLine="672" w:firstLineChars="210"/>
        <w:outlineLvl w:val="2"/>
        <w:rPr>
          <w:rFonts w:hint="default" w:ascii="Times New Roman" w:hAnsi="Times New Roman" w:eastAsia="楷体" w:cs="Times New Roman"/>
          <w:bCs/>
          <w:color w:val="000000"/>
          <w:sz w:val="32"/>
          <w:szCs w:val="32"/>
        </w:rPr>
      </w:pPr>
      <w:bookmarkStart w:id="18" w:name="_Toc15377198"/>
      <w:bookmarkStart w:id="19" w:name="_Toc15378445"/>
      <w:r>
        <w:rPr>
          <w:rFonts w:hint="default" w:ascii="Times New Roman" w:hAnsi="Times New Roman" w:eastAsia="楷体" w:cs="Times New Roman"/>
          <w:bCs/>
          <w:color w:val="000000"/>
          <w:sz w:val="32"/>
          <w:szCs w:val="32"/>
        </w:rPr>
        <w:t>（一）主要职能</w:t>
      </w:r>
      <w:bookmarkEnd w:id="18"/>
      <w:bookmarkEnd w:id="19"/>
    </w:p>
    <w:p>
      <w:pPr>
        <w:pStyle w:val="2"/>
        <w:adjustRightInd w:val="0"/>
        <w:snapToGrid w:val="0"/>
        <w:spacing w:before="93" w:line="600" w:lineRule="exact"/>
        <w:ind w:firstLine="672" w:firstLineChars="210"/>
        <w:outlineLvl w:val="2"/>
        <w:rPr>
          <w:rFonts w:hint="default" w:ascii="Times New Roman" w:hAnsi="Times New Roman" w:cs="Times New Roman"/>
          <w:sz w:val="32"/>
          <w:szCs w:val="32"/>
        </w:rPr>
      </w:pPr>
      <w:bookmarkStart w:id="20" w:name="_Toc15377199"/>
      <w:bookmarkStart w:id="21" w:name="_Toc15378446"/>
      <w:r>
        <w:rPr>
          <w:rFonts w:hint="default" w:ascii="Times New Roman" w:hAnsi="Times New Roman" w:cs="Times New Roman"/>
          <w:sz w:val="32"/>
          <w:szCs w:val="32"/>
        </w:rPr>
        <w:t>根据事业单位法人证书宗旨和业务范围的登记，攀枝花市档案馆（以下简称市档案馆）的职能有：收集保存提供利用档案资料，促进社会经济文化科学发展。（档案、资料）收集、整理、保管、鉴定；档案资料信息资源的开发利用；档案资料网络系统（设计、施工、维护、管理）；档案资料数字化处理；档案资料编纂；档案学研究；知识培训与社会教育。</w:t>
      </w:r>
    </w:p>
    <w:p>
      <w:pPr>
        <w:pStyle w:val="2"/>
        <w:numPr>
          <w:ilvl w:val="0"/>
          <w:numId w:val="0"/>
        </w:numPr>
        <w:adjustRightInd w:val="0"/>
        <w:snapToGrid w:val="0"/>
        <w:spacing w:before="93" w:line="600" w:lineRule="exact"/>
        <w:ind w:left="672" w:leftChars="0"/>
        <w:outlineLvl w:val="2"/>
        <w:rPr>
          <w:rFonts w:hint="default" w:ascii="Times New Roman" w:hAnsi="Times New Roman" w:eastAsia="楷体" w:cs="Times New Roman"/>
          <w:bCs/>
          <w:color w:val="000000"/>
          <w:sz w:val="32"/>
          <w:szCs w:val="32"/>
        </w:rPr>
      </w:pPr>
      <w:r>
        <w:rPr>
          <w:rFonts w:hint="default" w:ascii="Times New Roman" w:hAnsi="Times New Roman" w:eastAsia="楷体" w:cs="Times New Roman"/>
          <w:bCs/>
          <w:color w:val="000000"/>
          <w:sz w:val="32"/>
          <w:szCs w:val="32"/>
          <w:lang w:eastAsia="zh-CN"/>
        </w:rPr>
        <w:t>（二）</w:t>
      </w:r>
      <w:r>
        <w:rPr>
          <w:rFonts w:hint="default" w:ascii="Times New Roman" w:hAnsi="Times New Roman" w:eastAsia="楷体" w:cs="Times New Roman"/>
          <w:bCs/>
          <w:color w:val="000000"/>
          <w:sz w:val="32"/>
          <w:szCs w:val="32"/>
        </w:rPr>
        <w:t>202</w:t>
      </w:r>
      <w:r>
        <w:rPr>
          <w:rFonts w:hint="default" w:ascii="Times New Roman" w:hAnsi="Times New Roman" w:eastAsia="楷体" w:cs="Times New Roman"/>
          <w:bCs/>
          <w:color w:val="000000"/>
          <w:sz w:val="32"/>
          <w:szCs w:val="32"/>
          <w:lang w:val="en-US" w:eastAsia="zh-CN"/>
        </w:rPr>
        <w:t>1</w:t>
      </w:r>
      <w:r>
        <w:rPr>
          <w:rFonts w:hint="default" w:ascii="Times New Roman" w:hAnsi="Times New Roman" w:eastAsia="楷体" w:cs="Times New Roman"/>
          <w:bCs/>
          <w:color w:val="000000"/>
          <w:sz w:val="32"/>
          <w:szCs w:val="32"/>
        </w:rPr>
        <w:t>年重点工作完成情况</w:t>
      </w:r>
      <w:bookmarkEnd w:id="20"/>
      <w:bookmarkEnd w:id="21"/>
    </w:p>
    <w:p>
      <w:pPr>
        <w:spacing w:line="600" w:lineRule="exact"/>
        <w:ind w:firstLine="642"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lang w:val="en-US" w:eastAsia="zh-CN"/>
        </w:rPr>
        <w:t xml:space="preserve">    1</w:t>
      </w:r>
      <w:r>
        <w:rPr>
          <w:rFonts w:hint="default" w:ascii="Times New Roman" w:hAnsi="Times New Roman" w:eastAsia="仿宋_GB2312" w:cs="Times New Roman"/>
          <w:b/>
          <w:sz w:val="32"/>
          <w:szCs w:val="32"/>
          <w:lang w:eastAsia="zh-CN"/>
        </w:rPr>
        <w:t>.主要成绩和特色亮点</w:t>
      </w:r>
    </w:p>
    <w:p>
      <w:pPr>
        <w:spacing w:line="60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b/>
          <w:sz w:val="32"/>
          <w:szCs w:val="32"/>
          <w:lang w:eastAsia="zh-CN"/>
        </w:rPr>
        <w:t>创新局馆协同运行模式</w:t>
      </w:r>
      <w:r>
        <w:rPr>
          <w:rFonts w:hint="default" w:ascii="Times New Roman" w:hAnsi="Times New Roman" w:eastAsia="仿宋_GB2312" w:cs="Times New Roman"/>
          <w:b/>
          <w:sz w:val="32"/>
          <w:szCs w:val="32"/>
        </w:rPr>
        <w:t>。</w:t>
      </w:r>
      <w:r>
        <w:rPr>
          <w:rFonts w:hint="default" w:ascii="Times New Roman" w:hAnsi="Times New Roman" w:eastAsia="仿宋" w:cs="Times New Roman"/>
          <w:b w:val="0"/>
          <w:bCs/>
          <w:sz w:val="32"/>
          <w:szCs w:val="32"/>
          <w:lang w:eastAsia="zh-CN"/>
        </w:rPr>
        <w:t>机构改革后，</w:t>
      </w:r>
      <w:r>
        <w:rPr>
          <w:rFonts w:hint="default" w:ascii="Times New Roman" w:hAnsi="Times New Roman" w:eastAsia="仿宋" w:cs="Times New Roman"/>
          <w:b w:val="0"/>
          <w:bCs/>
          <w:sz w:val="32"/>
          <w:szCs w:val="32"/>
        </w:rPr>
        <w:t>市档案馆</w:t>
      </w:r>
      <w:r>
        <w:rPr>
          <w:rFonts w:hint="default" w:ascii="Times New Roman" w:hAnsi="Times New Roman" w:eastAsia="仿宋" w:cs="Times New Roman"/>
          <w:b w:val="0"/>
          <w:bCs/>
          <w:sz w:val="32"/>
          <w:szCs w:val="32"/>
          <w:lang w:eastAsia="zh-CN"/>
        </w:rPr>
        <w:t>明</w:t>
      </w:r>
      <w:r>
        <w:rPr>
          <w:rFonts w:hint="default" w:ascii="Times New Roman" w:hAnsi="Times New Roman" w:eastAsia="仿宋" w:cs="Times New Roman"/>
          <w:sz w:val="32"/>
          <w:szCs w:val="32"/>
          <w:lang w:eastAsia="zh-CN"/>
        </w:rPr>
        <w:t>确由市委办代管，为适应新形势新要求，市委办及市档案馆理顺工作关系，完善联动机制，坚持有事多沟通、大事多研究，坚持党管档案原则，切实落实市委办对档案馆工作的领导、</w:t>
      </w:r>
      <w:r>
        <w:rPr>
          <w:rFonts w:hint="default" w:ascii="Times New Roman" w:hAnsi="Times New Roman" w:eastAsia="仿宋" w:cs="Times New Roman"/>
          <w:vanish w:val="0"/>
          <w:kern w:val="2"/>
          <w:sz w:val="32"/>
          <w:szCs w:val="32"/>
          <w:lang w:eastAsia="zh-CN"/>
        </w:rPr>
        <w:t>档案</w:t>
      </w:r>
      <w:r>
        <w:rPr>
          <w:rFonts w:hint="default" w:ascii="Times New Roman" w:hAnsi="Times New Roman" w:eastAsia="仿宋" w:cs="Times New Roman"/>
          <w:vanish w:val="0"/>
          <w:kern w:val="2"/>
          <w:sz w:val="32"/>
          <w:szCs w:val="32"/>
        </w:rPr>
        <w:t>局</w:t>
      </w:r>
      <w:r>
        <w:rPr>
          <w:rFonts w:hint="default" w:ascii="Times New Roman" w:hAnsi="Times New Roman" w:eastAsia="仿宋" w:cs="Times New Roman"/>
          <w:vanish w:val="0"/>
          <w:kern w:val="2"/>
          <w:sz w:val="32"/>
          <w:szCs w:val="32"/>
          <w:lang w:eastAsia="zh-CN"/>
        </w:rPr>
        <w:t>对档案</w:t>
      </w:r>
      <w:r>
        <w:rPr>
          <w:rFonts w:hint="default" w:ascii="Times New Roman" w:hAnsi="Times New Roman" w:eastAsia="仿宋" w:cs="Times New Roman"/>
          <w:vanish w:val="0"/>
          <w:kern w:val="2"/>
          <w:sz w:val="32"/>
          <w:szCs w:val="32"/>
        </w:rPr>
        <w:t>馆</w:t>
      </w:r>
      <w:r>
        <w:rPr>
          <w:rFonts w:hint="default" w:ascii="Times New Roman" w:hAnsi="Times New Roman" w:eastAsia="仿宋" w:cs="Times New Roman"/>
          <w:vanish w:val="0"/>
          <w:kern w:val="2"/>
          <w:sz w:val="32"/>
          <w:szCs w:val="32"/>
          <w:lang w:eastAsia="zh-CN"/>
        </w:rPr>
        <w:t>工作的指导</w:t>
      </w:r>
      <w:r>
        <w:rPr>
          <w:rFonts w:hint="default" w:ascii="Times New Roman" w:hAnsi="Times New Roman" w:eastAsia="仿宋" w:cs="Times New Roman"/>
          <w:vanish w:val="0"/>
          <w:kern w:val="2"/>
          <w:sz w:val="32"/>
          <w:szCs w:val="32"/>
        </w:rPr>
        <w:t>机制</w:t>
      </w:r>
      <w:r>
        <w:rPr>
          <w:rFonts w:hint="default" w:ascii="Times New Roman" w:hAnsi="Times New Roman" w:eastAsia="仿宋" w:cs="Times New Roman"/>
          <w:sz w:val="32"/>
          <w:szCs w:val="32"/>
        </w:rPr>
        <w:t>，结合实际情况制定档案工作方案，细化措施，落实责任，保证政令畅通，深入推进档案工作服务中心大局。</w:t>
      </w:r>
    </w:p>
    <w:p>
      <w:pPr>
        <w:ind w:firstLine="642" w:firstLineChars="200"/>
        <w:rPr>
          <w:rFonts w:hint="default" w:ascii="Times New Roman" w:hAnsi="Times New Roman" w:eastAsia="仿宋" w:cs="Times New Roman"/>
          <w:color w:val="0000FF"/>
          <w:sz w:val="32"/>
          <w:szCs w:val="32"/>
        </w:rPr>
      </w:pPr>
      <w:r>
        <w:rPr>
          <w:rFonts w:hint="default" w:ascii="Times New Roman" w:hAnsi="Times New Roman" w:eastAsia="仿宋_GB2312" w:cs="Times New Roman"/>
          <w:b/>
          <w:sz w:val="32"/>
          <w:szCs w:val="32"/>
        </w:rPr>
        <w:t>（2）突出亮点工作。</w:t>
      </w:r>
      <w:r>
        <w:rPr>
          <w:rFonts w:hint="default" w:ascii="Times New Roman" w:hAnsi="Times New Roman" w:eastAsia="仿宋_GB2312" w:cs="Times New Roman"/>
          <w:b/>
          <w:bCs w:val="0"/>
          <w:sz w:val="32"/>
          <w:szCs w:val="32"/>
        </w:rPr>
        <w:t>一是</w:t>
      </w:r>
      <w:r>
        <w:rPr>
          <w:rFonts w:hint="default" w:ascii="Times New Roman" w:hAnsi="Times New Roman" w:eastAsia="仿宋" w:cs="Times New Roman"/>
          <w:b w:val="0"/>
          <w:bCs/>
          <w:sz w:val="32"/>
          <w:szCs w:val="32"/>
        </w:rPr>
        <w:t>服务新型冠状病毒肺炎疫情防控档案工作，</w:t>
      </w:r>
      <w:r>
        <w:rPr>
          <w:rFonts w:hint="default" w:ascii="Times New Roman" w:hAnsi="Times New Roman" w:eastAsia="仿宋" w:cs="Times New Roman"/>
          <w:sz w:val="32"/>
          <w:szCs w:val="32"/>
        </w:rPr>
        <w:t>根据工作要求制定了《攀枝花市档案局 攀枝花市应对新型冠状病毒肺炎疫情应急指挥部办公室 关于做好新型冠状病毒肺炎疫情防控档案整理归档工作的通知》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bidi="ar-SA"/>
        </w:rPr>
        <w:t>确保</w:t>
      </w:r>
      <w:r>
        <w:rPr>
          <w:rFonts w:hint="default" w:ascii="Times New Roman" w:hAnsi="Times New Roman" w:eastAsia="仿宋" w:cs="Times New Roman"/>
          <w:sz w:val="32"/>
          <w:szCs w:val="32"/>
          <w:lang w:val="en-US" w:eastAsia="zh-CN" w:bidi="ar-SA"/>
        </w:rPr>
        <w:t>2021年底全面完成疫情防控档案移交进馆工作；</w:t>
      </w:r>
      <w:r>
        <w:rPr>
          <w:rFonts w:hint="default" w:ascii="Times New Roman" w:hAnsi="Times New Roman" w:eastAsia="仿宋" w:cs="Times New Roman"/>
          <w:b/>
          <w:bCs w:val="0"/>
          <w:sz w:val="32"/>
          <w:szCs w:val="32"/>
        </w:rPr>
        <w:t>二是</w:t>
      </w:r>
      <w:r>
        <w:rPr>
          <w:rFonts w:hint="default" w:ascii="Times New Roman" w:hAnsi="Times New Roman" w:eastAsia="仿宋" w:cs="Times New Roman"/>
          <w:b w:val="0"/>
          <w:bCs/>
          <w:sz w:val="32"/>
          <w:szCs w:val="32"/>
          <w:lang w:val="en-US" w:eastAsia="zh-CN" w:bidi="ar-SA"/>
        </w:rPr>
        <w:t>开展重大建设项目档案指导，参加省能投盐边公司盐边县红</w:t>
      </w:r>
      <w:r>
        <w:rPr>
          <w:rFonts w:hint="default" w:ascii="Times New Roman" w:hAnsi="Times New Roman" w:eastAsia="仿宋" w:cs="Times New Roman"/>
          <w:sz w:val="32"/>
          <w:szCs w:val="32"/>
          <w:lang w:val="en-US" w:eastAsia="zh-CN" w:bidi="ar-SA"/>
        </w:rPr>
        <w:t>格大面山二期风电场及盐边县红格大面山农风光发电互补项目预验收</w:t>
      </w:r>
      <w:r>
        <w:rPr>
          <w:rFonts w:hint="default" w:ascii="Times New Roman" w:hAnsi="Times New Roman" w:eastAsia="仿宋" w:cs="Times New Roman"/>
          <w:sz w:val="32"/>
          <w:szCs w:val="32"/>
        </w:rPr>
        <w:t>；</w:t>
      </w:r>
      <w:r>
        <w:rPr>
          <w:rFonts w:hint="default" w:ascii="Times New Roman" w:hAnsi="Times New Roman" w:eastAsia="仿宋" w:cs="Times New Roman"/>
          <w:b/>
          <w:color w:val="auto"/>
          <w:sz w:val="32"/>
          <w:szCs w:val="32"/>
        </w:rPr>
        <w:t>三是</w:t>
      </w:r>
      <w:r>
        <w:rPr>
          <w:rFonts w:hint="default" w:ascii="Times New Roman" w:hAnsi="Times New Roman" w:eastAsia="仿宋" w:cs="Times New Roman"/>
          <w:b w:val="0"/>
          <w:bCs w:val="0"/>
          <w:color w:val="auto"/>
          <w:sz w:val="32"/>
          <w:szCs w:val="32"/>
        </w:rPr>
        <w:t>服务脱贫攻坚档案省级验收工作</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color w:val="auto"/>
          <w:sz w:val="32"/>
          <w:szCs w:val="32"/>
        </w:rPr>
        <w:t>印发《关于进一步做好脱贫攻坚档案归集和问题整改工作的通知》，与市脱办联合组成工作组，多次深入到米易县草场镇仙山村、盐边县和爱乡、渔门镇、仁和区大田镇等多个贫困乡镇开展指导工作；</w:t>
      </w:r>
      <w:r>
        <w:rPr>
          <w:rFonts w:hint="default" w:ascii="Times New Roman" w:hAnsi="Times New Roman" w:eastAsia="仿宋" w:cs="Times New Roman"/>
          <w:b/>
          <w:bCs/>
          <w:color w:val="auto"/>
          <w:sz w:val="32"/>
          <w:szCs w:val="32"/>
          <w:lang w:eastAsia="zh-CN"/>
        </w:rPr>
        <w:t>四是</w:t>
      </w:r>
      <w:r>
        <w:rPr>
          <w:rFonts w:hint="default" w:ascii="Times New Roman" w:hAnsi="Times New Roman" w:eastAsia="仿宋" w:cs="Times New Roman"/>
          <w:b w:val="0"/>
          <w:bCs w:val="0"/>
          <w:color w:val="auto"/>
          <w:sz w:val="32"/>
          <w:szCs w:val="32"/>
        </w:rPr>
        <w:t>服务棚户区改造项目档案工作</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积极介入</w:t>
      </w:r>
      <w:r>
        <w:rPr>
          <w:rFonts w:hint="default" w:ascii="Times New Roman" w:hAnsi="Times New Roman" w:eastAsia="仿宋" w:cs="Times New Roman"/>
          <w:color w:val="auto"/>
          <w:sz w:val="32"/>
          <w:szCs w:val="32"/>
        </w:rPr>
        <w:t>棚改档案相关工作。与市住建局</w:t>
      </w:r>
      <w:r>
        <w:rPr>
          <w:rFonts w:hint="default" w:ascii="Times New Roman" w:hAnsi="Times New Roman" w:eastAsia="仿宋" w:cs="Times New Roman"/>
          <w:sz w:val="32"/>
          <w:szCs w:val="32"/>
        </w:rPr>
        <w:t>联合制定了《攀枝花市档案局攀枝花市住房城乡建设局关于进一步做好全市棚改项目档案工作的通知》，明析棚改工作总房屋征收补偿货币化安置过程中形成档案的归集整理规范及工作进度要求，统筹推进全市棚改档案工作。</w:t>
      </w:r>
    </w:p>
    <w:p>
      <w:pPr>
        <w:keepNext w:val="0"/>
        <w:keepLines w:val="0"/>
        <w:pageBreakBefore w:val="0"/>
        <w:widowControl w:val="0"/>
        <w:kinsoku/>
        <w:wordWrap/>
        <w:overflowPunct/>
        <w:topLinePunct w:val="0"/>
        <w:autoSpaceDE/>
        <w:autoSpaceDN/>
        <w:adjustRightInd w:val="0"/>
        <w:snapToGrid w:val="0"/>
        <w:spacing w:line="576"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color w:val="auto"/>
          <w:sz w:val="32"/>
          <w:szCs w:val="32"/>
        </w:rPr>
        <w:t>（3）推进依法行</w:t>
      </w:r>
      <w:r>
        <w:rPr>
          <w:rFonts w:hint="default" w:ascii="Times New Roman" w:hAnsi="Times New Roman" w:eastAsia="仿宋" w:cs="Times New Roman"/>
          <w:b/>
          <w:sz w:val="32"/>
          <w:szCs w:val="32"/>
        </w:rPr>
        <w:t>政。</w:t>
      </w:r>
      <w:r>
        <w:rPr>
          <w:rFonts w:hint="default" w:ascii="Times New Roman" w:hAnsi="Times New Roman" w:eastAsia="仿宋" w:cs="Times New Roman"/>
          <w:sz w:val="32"/>
          <w:szCs w:val="32"/>
          <w:lang w:bidi="ar-SA"/>
        </w:rPr>
        <w:t>完成</w:t>
      </w:r>
      <w:r>
        <w:rPr>
          <w:rFonts w:hint="default" w:ascii="Times New Roman" w:hAnsi="Times New Roman" w:eastAsia="仿宋" w:cs="Times New Roman"/>
          <w:sz w:val="32"/>
          <w:szCs w:val="32"/>
          <w:lang w:val="en-US" w:eastAsia="zh-CN" w:bidi="ar-SA"/>
        </w:rPr>
        <w:t>9名</w:t>
      </w:r>
      <w:r>
        <w:rPr>
          <w:rFonts w:hint="default" w:ascii="Times New Roman" w:hAnsi="Times New Roman" w:eastAsia="仿宋" w:cs="Times New Roman"/>
          <w:sz w:val="32"/>
          <w:szCs w:val="32"/>
          <w:lang w:bidi="ar-SA"/>
        </w:rPr>
        <w:t>行政执法人员证件年审及线上线下公用法培训及考试，</w:t>
      </w:r>
      <w:r>
        <w:rPr>
          <w:rFonts w:hint="default" w:ascii="Times New Roman" w:hAnsi="Times New Roman" w:eastAsia="仿宋" w:cs="Times New Roman"/>
          <w:sz w:val="32"/>
          <w:szCs w:val="32"/>
          <w:lang w:eastAsia="zh-CN" w:bidi="ar-SA"/>
        </w:rPr>
        <w:t>新增</w:t>
      </w:r>
      <w:r>
        <w:rPr>
          <w:rFonts w:hint="default" w:ascii="Times New Roman" w:hAnsi="Times New Roman" w:eastAsia="仿宋" w:cs="Times New Roman"/>
          <w:sz w:val="32"/>
          <w:szCs w:val="32"/>
          <w:lang w:val="en-US" w:eastAsia="zh-CN" w:bidi="ar-SA"/>
        </w:rPr>
        <w:t>2</w:t>
      </w:r>
      <w:r>
        <w:rPr>
          <w:rFonts w:hint="default" w:ascii="Times New Roman" w:hAnsi="Times New Roman" w:eastAsia="仿宋" w:cs="Times New Roman"/>
          <w:sz w:val="32"/>
          <w:szCs w:val="32"/>
          <w:lang w:eastAsia="zh-CN" w:bidi="ar-SA"/>
        </w:rPr>
        <w:t>名执法人员</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bidi="ar-SA"/>
        </w:rPr>
        <w:t>制定《攀枝花市档案行政执法检查三年行动方案工作方案》</w:t>
      </w:r>
      <w:r>
        <w:rPr>
          <w:rFonts w:hint="default" w:ascii="Times New Roman" w:hAnsi="Times New Roman" w:eastAsia="仿宋" w:cs="Times New Roman"/>
          <w:sz w:val="32"/>
          <w:szCs w:val="32"/>
          <w:lang w:eastAsia="zh-CN" w:bidi="ar-SA"/>
        </w:rPr>
        <w:t>，</w:t>
      </w:r>
      <w:r>
        <w:rPr>
          <w:rFonts w:hint="default" w:ascii="Times New Roman" w:hAnsi="Times New Roman" w:eastAsia="仿宋" w:cs="Times New Roman"/>
          <w:sz w:val="32"/>
          <w:szCs w:val="32"/>
          <w:lang w:bidi="ar-SA"/>
        </w:rPr>
        <w:t>对39个市级部门（单位）开展档案行政执法检查</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bidi="ar-SA"/>
        </w:rPr>
        <w:t>梳理行业规范性文件，</w:t>
      </w:r>
      <w:r>
        <w:rPr>
          <w:rFonts w:hint="default" w:ascii="Times New Roman" w:hAnsi="Times New Roman" w:eastAsia="仿宋" w:cs="Times New Roman"/>
          <w:sz w:val="32"/>
          <w:szCs w:val="32"/>
          <w:lang w:bidi="ar-SA"/>
        </w:rPr>
        <w:t>制发《攀枝花市档案局关于印发推进包容审慎监管执法建立行政处罚“三张清单”的通知》。</w:t>
      </w:r>
    </w:p>
    <w:p>
      <w:pPr>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（4）加强服务效能。</w:t>
      </w:r>
      <w:r>
        <w:rPr>
          <w:rFonts w:hint="default" w:ascii="Times New Roman" w:hAnsi="Times New Roman" w:eastAsia="仿宋" w:cs="Times New Roman"/>
          <w:sz w:val="32"/>
          <w:szCs w:val="32"/>
          <w:lang w:eastAsia="zh-CN" w:bidi="ar-SA"/>
        </w:rPr>
        <w:t>开通特殊人群“绿色通道”，公示常用档案查阅电话，方便群众查档</w:t>
      </w:r>
      <w:r>
        <w:rPr>
          <w:rFonts w:hint="default" w:ascii="Times New Roman" w:hAnsi="Times New Roman" w:eastAsia="仿宋" w:cs="Times New Roman"/>
          <w:color w:val="auto"/>
          <w:sz w:val="32"/>
          <w:szCs w:val="32"/>
          <w:lang w:eastAsia="zh-CN" w:bidi="ar-SA"/>
        </w:rPr>
        <w:t>。</w:t>
      </w:r>
      <w:r>
        <w:rPr>
          <w:rFonts w:hint="default" w:ascii="Times New Roman" w:hAnsi="Times New Roman" w:eastAsia="仿宋" w:cs="Times New Roman"/>
          <w:sz w:val="32"/>
          <w:szCs w:val="32"/>
        </w:rPr>
        <w:t>2021年</w:t>
      </w:r>
      <w:r>
        <w:rPr>
          <w:rFonts w:hint="default" w:ascii="Times New Roman" w:hAnsi="Times New Roman" w:eastAsia="仿宋" w:cs="Times New Roman"/>
          <w:sz w:val="32"/>
          <w:szCs w:val="32"/>
          <w:lang w:eastAsia="zh-CN"/>
        </w:rPr>
        <w:t>度</w:t>
      </w:r>
      <w:r>
        <w:rPr>
          <w:rFonts w:hint="default" w:ascii="Times New Roman" w:hAnsi="Times New Roman" w:eastAsia="仿宋" w:cs="Times New Roman"/>
          <w:sz w:val="32"/>
          <w:szCs w:val="32"/>
        </w:rPr>
        <w:t>，市档案馆共接待档案查阅利用群众966人次，调阅案卷14285卷（件），复印档案资料15558页。</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（5）着力资源建设。</w:t>
      </w:r>
      <w:r>
        <w:rPr>
          <w:rFonts w:hint="default" w:ascii="Times New Roman" w:hAnsi="Times New Roman" w:eastAsia="仿宋" w:cs="Times New Roman"/>
          <w:sz w:val="32"/>
          <w:szCs w:val="32"/>
          <w:lang w:bidi="ar-SA"/>
        </w:rPr>
        <w:t>整理李国超、方毅等人物档案2400余件</w:t>
      </w:r>
      <w:r>
        <w:rPr>
          <w:rFonts w:hint="default" w:ascii="Times New Roman" w:hAnsi="Times New Roman" w:eastAsia="仿宋" w:cs="Times New Roman"/>
          <w:sz w:val="32"/>
          <w:szCs w:val="32"/>
          <w:lang w:eastAsia="zh-CN" w:bidi="ar-SA"/>
        </w:rPr>
        <w:t>；</w:t>
      </w:r>
      <w:r>
        <w:rPr>
          <w:rFonts w:hint="default" w:ascii="Times New Roman" w:hAnsi="Times New Roman" w:eastAsia="仿宋" w:cs="Times New Roman"/>
          <w:sz w:val="32"/>
          <w:szCs w:val="32"/>
          <w:lang w:val="en-US" w:eastAsia="zh-CN" w:bidi="ar-SA"/>
        </w:rPr>
        <w:t>完成“方毅与攀枝花”展厅移交</w:t>
      </w:r>
      <w:r>
        <w:rPr>
          <w:rFonts w:hint="default" w:ascii="Times New Roman" w:hAnsi="Times New Roman" w:eastAsia="仿宋" w:cs="Times New Roman"/>
          <w:sz w:val="32"/>
          <w:szCs w:val="32"/>
          <w:lang w:eastAsia="zh-CN" w:bidi="ar-SA"/>
        </w:rPr>
        <w:t>三线建设博物馆</w:t>
      </w:r>
      <w:r>
        <w:rPr>
          <w:rFonts w:hint="default" w:ascii="Times New Roman" w:hAnsi="Times New Roman" w:eastAsia="仿宋" w:cs="Times New Roman"/>
          <w:sz w:val="32"/>
          <w:szCs w:val="32"/>
          <w:lang w:val="en-US" w:eastAsia="zh-CN" w:bidi="ar-SA"/>
        </w:rPr>
        <w:t>和结语版面升级改造工作</w:t>
      </w:r>
      <w:r>
        <w:rPr>
          <w:rFonts w:hint="default" w:ascii="Times New Roman" w:hAnsi="Times New Roman" w:eastAsia="仿宋" w:cs="Times New Roman"/>
          <w:sz w:val="32"/>
          <w:szCs w:val="32"/>
          <w:lang w:eastAsia="zh-CN" w:bidi="ar-SA"/>
        </w:rPr>
        <w:t>；</w:t>
      </w:r>
      <w:r>
        <w:rPr>
          <w:rFonts w:hint="default" w:ascii="Times New Roman" w:hAnsi="Times New Roman" w:eastAsia="仿宋" w:cs="Times New Roman"/>
          <w:sz w:val="32"/>
          <w:szCs w:val="32"/>
          <w:lang w:val="en-US" w:eastAsia="zh-CN" w:bidi="ar-SA"/>
        </w:rPr>
        <w:t>制定《攀枝花市档案馆关于印发2021年度接收档案进馆计划的通知》，涉及13家机改单位，9个主管部门，共计约</w:t>
      </w:r>
      <w:r>
        <w:rPr>
          <w:rFonts w:hint="default" w:ascii="Times New Roman" w:hAnsi="Times New Roman" w:eastAsia="仿宋" w:cs="Times New Roman"/>
          <w:sz w:val="32"/>
          <w:szCs w:val="32"/>
          <w:lang w:val="en" w:eastAsia="zh-CN" w:bidi="ar-SA"/>
        </w:rPr>
        <w:t>5.5</w:t>
      </w:r>
      <w:r>
        <w:rPr>
          <w:rFonts w:hint="default" w:ascii="Times New Roman" w:hAnsi="Times New Roman" w:eastAsia="仿宋" w:cs="Times New Roman"/>
          <w:sz w:val="32"/>
          <w:szCs w:val="32"/>
          <w:lang w:val="en-US" w:eastAsia="zh-CN" w:bidi="ar-SA"/>
        </w:rPr>
        <w:t>万件档案。</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jc w:val="both"/>
        <w:textAlignment w:val="auto"/>
        <w:rPr>
          <w:rFonts w:hint="default" w:ascii="Times New Roman" w:hAnsi="Times New Roman" w:eastAsia="仿宋" w:cs="Times New Roman"/>
          <w:sz w:val="32"/>
          <w:szCs w:val="32"/>
          <w:lang w:bidi="ar-SA"/>
        </w:rPr>
      </w:pPr>
      <w:r>
        <w:rPr>
          <w:rFonts w:hint="default" w:ascii="Times New Roman" w:hAnsi="Times New Roman" w:eastAsia="仿宋" w:cs="Times New Roman"/>
          <w:b/>
          <w:sz w:val="32"/>
          <w:szCs w:val="32"/>
        </w:rPr>
        <w:t>（6）加强文化建设。</w:t>
      </w:r>
      <w:r>
        <w:rPr>
          <w:rFonts w:hint="default" w:ascii="Times New Roman" w:hAnsi="Times New Roman" w:eastAsia="仿宋" w:cs="Times New Roman"/>
          <w:sz w:val="32"/>
          <w:szCs w:val="32"/>
          <w:lang w:eastAsia="zh-CN" w:bidi="ar-SA"/>
        </w:rPr>
        <w:t>围</w:t>
      </w:r>
      <w:r>
        <w:rPr>
          <w:rFonts w:hint="default" w:ascii="Times New Roman" w:hAnsi="Times New Roman" w:eastAsia="仿宋" w:cs="Times New Roman"/>
          <w:sz w:val="32"/>
          <w:szCs w:val="32"/>
          <w:lang w:bidi="ar-SA"/>
        </w:rPr>
        <w:t>绕“三线建设”“钒钛之都建设”两大主题</w:t>
      </w:r>
      <w:r>
        <w:rPr>
          <w:rFonts w:hint="default" w:ascii="Times New Roman" w:hAnsi="Times New Roman" w:eastAsia="仿宋" w:cs="Times New Roman"/>
          <w:sz w:val="32"/>
          <w:szCs w:val="32"/>
          <w:lang w:eastAsia="zh-CN" w:bidi="ar-SA"/>
        </w:rPr>
        <w:t>，</w:t>
      </w:r>
      <w:r>
        <w:rPr>
          <w:rFonts w:hint="default" w:ascii="Times New Roman" w:hAnsi="Times New Roman" w:eastAsia="仿宋" w:cs="Times New Roman"/>
          <w:sz w:val="32"/>
          <w:szCs w:val="32"/>
          <w:lang w:bidi="ar-SA"/>
        </w:rPr>
        <w:t>组织编纂《攀枝花开发建设重大历史回顾》</w:t>
      </w:r>
      <w:r>
        <w:rPr>
          <w:rFonts w:hint="default" w:ascii="Times New Roman" w:hAnsi="Times New Roman" w:eastAsia="仿宋" w:cs="Times New Roman"/>
          <w:sz w:val="32"/>
          <w:szCs w:val="32"/>
          <w:lang w:eastAsia="zh-CN" w:bidi="ar-SA"/>
        </w:rPr>
        <w:t>，年底前完成约稿和组稿工作；</w:t>
      </w:r>
      <w:r>
        <w:rPr>
          <w:rFonts w:hint="default" w:ascii="Times New Roman" w:hAnsi="Times New Roman" w:eastAsia="仿宋" w:cs="Times New Roman"/>
          <w:sz w:val="32"/>
          <w:szCs w:val="32"/>
          <w:lang w:bidi="ar-SA"/>
        </w:rPr>
        <w:t>组织申报四川省档案馆、重庆市档案馆联合举办的“印记100”—川渝地区档案馆馆藏</w:t>
      </w:r>
      <w:r>
        <w:rPr>
          <w:rFonts w:hint="default" w:ascii="Times New Roman" w:hAnsi="Times New Roman" w:eastAsia="仿宋" w:cs="Times New Roman"/>
          <w:sz w:val="32"/>
          <w:szCs w:val="32"/>
          <w:lang w:eastAsia="zh-CN" w:bidi="ar-SA"/>
        </w:rPr>
        <w:t>，</w:t>
      </w:r>
      <w:r>
        <w:rPr>
          <w:rFonts w:hint="default" w:ascii="Times New Roman" w:hAnsi="Times New Roman" w:eastAsia="仿宋" w:cs="Times New Roman"/>
          <w:sz w:val="32"/>
          <w:szCs w:val="32"/>
          <w:lang w:bidi="ar-SA"/>
        </w:rPr>
        <w:t>红色珍档评选活动，我市2组档案入选四川省档案馆、重庆市档案馆联合举办的“印记100”—川渝地区档案馆馆藏红色珍档评选活动，位列全省市（州）档案馆第三</w:t>
      </w:r>
      <w:r>
        <w:rPr>
          <w:rFonts w:hint="default" w:ascii="Times New Roman" w:hAnsi="Times New Roman" w:eastAsia="仿宋" w:cs="Times New Roman"/>
          <w:sz w:val="32"/>
          <w:szCs w:val="32"/>
          <w:lang w:eastAsia="zh-CN" w:bidi="ar-SA"/>
        </w:rPr>
        <w:t>；</w:t>
      </w:r>
      <w:r>
        <w:rPr>
          <w:rFonts w:hint="default" w:ascii="Times New Roman" w:hAnsi="Times New Roman" w:eastAsia="仿宋" w:cs="Times New Roman"/>
          <w:sz w:val="32"/>
          <w:szCs w:val="32"/>
          <w:lang w:val="en-US" w:eastAsia="zh-CN" w:bidi="ar-SA"/>
        </w:rPr>
        <w:t>承办“脱贫攻坚与疫情防控”写意画展；</w:t>
      </w:r>
      <w:r>
        <w:rPr>
          <w:rFonts w:hint="default" w:ascii="Times New Roman" w:hAnsi="Times New Roman" w:eastAsia="仿宋" w:cs="Times New Roman"/>
          <w:sz w:val="32"/>
          <w:szCs w:val="32"/>
          <w:lang w:eastAsia="zh-CN" w:bidi="ar-SA"/>
        </w:rPr>
        <w:t>选送的</w:t>
      </w:r>
      <w:r>
        <w:rPr>
          <w:rFonts w:hint="default" w:ascii="Times New Roman" w:hAnsi="Times New Roman" w:eastAsia="仿宋" w:cs="Times New Roman"/>
          <w:sz w:val="32"/>
          <w:szCs w:val="32"/>
          <w:lang w:bidi="ar-SA"/>
        </w:rPr>
        <w:t>《英雄攀枝花“两城”再出发-我讲“三线精神”红色故事给党听》</w:t>
      </w:r>
      <w:r>
        <w:rPr>
          <w:rFonts w:hint="default" w:ascii="Times New Roman" w:hAnsi="Times New Roman" w:eastAsia="仿宋" w:cs="Times New Roman"/>
          <w:sz w:val="32"/>
          <w:szCs w:val="32"/>
          <w:lang w:eastAsia="zh-CN" w:bidi="ar-SA"/>
        </w:rPr>
        <w:t>进入</w:t>
      </w:r>
      <w:r>
        <w:rPr>
          <w:rFonts w:hint="default" w:ascii="Times New Roman" w:hAnsi="Times New Roman" w:eastAsia="仿宋" w:cs="Times New Roman"/>
          <w:sz w:val="32"/>
          <w:szCs w:val="32"/>
          <w:lang w:bidi="ar-SA"/>
        </w:rPr>
        <w:t>四川省档案馆、重庆市档案馆联合举办的“党旗飘扬——川渝地区档案馆红色故事宣讲大赛”</w:t>
      </w:r>
      <w:r>
        <w:rPr>
          <w:rFonts w:hint="default" w:ascii="Times New Roman" w:hAnsi="Times New Roman" w:eastAsia="仿宋" w:cs="Times New Roman"/>
          <w:sz w:val="32"/>
          <w:szCs w:val="32"/>
          <w:lang w:eastAsia="zh-CN" w:bidi="ar-SA"/>
        </w:rPr>
        <w:t>决赛</w:t>
      </w:r>
      <w:r>
        <w:rPr>
          <w:rFonts w:hint="default" w:ascii="Times New Roman" w:hAnsi="Times New Roman" w:eastAsia="仿宋" w:cs="Times New Roman"/>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jc w:val="both"/>
        <w:textAlignment w:val="auto"/>
        <w:rPr>
          <w:rFonts w:hint="default" w:ascii="Times New Roman" w:hAnsi="Times New Roman" w:eastAsia="仿宋" w:cs="Times New Roman"/>
          <w:sz w:val="32"/>
          <w:szCs w:val="32"/>
          <w:lang w:eastAsia="zh-CN" w:bidi="ar-SA"/>
        </w:rPr>
      </w:pPr>
      <w:r>
        <w:rPr>
          <w:rFonts w:hint="default" w:ascii="Times New Roman" w:hAnsi="Times New Roman" w:eastAsia="仿宋" w:cs="Times New Roman"/>
          <w:b/>
          <w:sz w:val="32"/>
          <w:szCs w:val="32"/>
          <w:lang w:eastAsia="zh-CN"/>
        </w:rPr>
        <w:t>（</w:t>
      </w:r>
      <w:r>
        <w:rPr>
          <w:rFonts w:hint="default" w:ascii="Times New Roman" w:hAnsi="Times New Roman" w:eastAsia="仿宋" w:cs="Times New Roman"/>
          <w:b/>
          <w:sz w:val="32"/>
          <w:szCs w:val="32"/>
          <w:lang w:val="en-US" w:eastAsia="zh-CN"/>
        </w:rPr>
        <w:t>7</w:t>
      </w:r>
      <w:r>
        <w:rPr>
          <w:rFonts w:hint="default" w:ascii="Times New Roman" w:hAnsi="Times New Roman" w:eastAsia="仿宋" w:cs="Times New Roman"/>
          <w:b/>
          <w:sz w:val="32"/>
          <w:szCs w:val="32"/>
          <w:lang w:eastAsia="zh-CN"/>
        </w:rPr>
        <w:t>）推进数字档案馆建设。</w:t>
      </w:r>
      <w:r>
        <w:rPr>
          <w:rFonts w:hint="default" w:ascii="Times New Roman" w:hAnsi="Times New Roman" w:eastAsia="仿宋" w:cs="Times New Roman"/>
          <w:sz w:val="32"/>
          <w:szCs w:val="32"/>
          <w:lang w:bidi="ar-SA"/>
        </w:rPr>
        <w:t>加强</w:t>
      </w:r>
      <w:r>
        <w:rPr>
          <w:rFonts w:hint="default" w:ascii="Times New Roman" w:hAnsi="Times New Roman" w:eastAsia="仿宋" w:cs="Times New Roman"/>
          <w:sz w:val="32"/>
          <w:szCs w:val="32"/>
          <w:lang w:eastAsia="zh-CN" w:bidi="ar-SA"/>
        </w:rPr>
        <w:t>数字档案安全</w:t>
      </w:r>
      <w:r>
        <w:rPr>
          <w:rFonts w:hint="default" w:ascii="Times New Roman" w:hAnsi="Times New Roman" w:eastAsia="仿宋" w:cs="Times New Roman"/>
          <w:sz w:val="32"/>
          <w:szCs w:val="32"/>
          <w:lang w:bidi="ar-SA"/>
        </w:rPr>
        <w:t>建设和管理</w:t>
      </w:r>
      <w:r>
        <w:rPr>
          <w:rFonts w:hint="default" w:ascii="Times New Roman" w:hAnsi="Times New Roman" w:eastAsia="仿宋" w:cs="Times New Roman"/>
          <w:sz w:val="32"/>
          <w:szCs w:val="32"/>
          <w:lang w:eastAsia="zh-CN" w:bidi="ar-SA"/>
        </w:rPr>
        <w:t>，</w:t>
      </w:r>
      <w:r>
        <w:rPr>
          <w:rFonts w:hint="default" w:ascii="Times New Roman" w:hAnsi="Times New Roman" w:eastAsia="仿宋" w:cs="Times New Roman"/>
          <w:sz w:val="32"/>
          <w:szCs w:val="32"/>
          <w:lang w:bidi="ar-SA"/>
        </w:rPr>
        <w:t>实施机房搬迁设备购置及改造项目</w:t>
      </w:r>
      <w:r>
        <w:rPr>
          <w:rFonts w:hint="default" w:ascii="Times New Roman" w:hAnsi="Times New Roman" w:eastAsia="仿宋" w:cs="Times New Roman"/>
          <w:sz w:val="32"/>
          <w:szCs w:val="32"/>
          <w:lang w:eastAsia="zh-CN" w:bidi="ar-SA"/>
        </w:rPr>
        <w:t>；</w:t>
      </w:r>
      <w:r>
        <w:rPr>
          <w:rFonts w:hint="default" w:ascii="Times New Roman" w:hAnsi="Times New Roman" w:eastAsia="仿宋" w:cs="Times New Roman"/>
          <w:sz w:val="32"/>
          <w:szCs w:val="32"/>
          <w:lang w:val="en-US" w:eastAsia="zh-CN" w:bidi="ar-SA"/>
        </w:rPr>
        <w:t>积极争取省级数字档案馆建设试点，市档案馆、西区档案馆、仁和区档案馆已确定为四川省数字档案馆建设试点单位</w:t>
      </w:r>
      <w:r>
        <w:rPr>
          <w:rFonts w:hint="default" w:ascii="Times New Roman" w:hAnsi="Times New Roman" w:eastAsia="仿宋" w:cs="Times New Roman"/>
          <w:color w:val="auto"/>
          <w:sz w:val="32"/>
          <w:szCs w:val="32"/>
          <w:lang w:val="en-US" w:eastAsia="zh-CN" w:bidi="ar-SA"/>
        </w:rPr>
        <w:t>，制定《攀枝花市数字档案馆建设方案》；</w:t>
      </w:r>
      <w:r>
        <w:rPr>
          <w:rFonts w:hint="default" w:ascii="Times New Roman" w:hAnsi="Times New Roman" w:eastAsia="仿宋" w:cs="Times New Roman"/>
          <w:sz w:val="32"/>
          <w:szCs w:val="32"/>
          <w:lang w:val="en-US" w:eastAsia="zh-CN" w:bidi="ar-SA"/>
        </w:rPr>
        <w:t>配合国有企业退休职工电子档案移交，制定《攀枝花市国有企业退休人员人事档案数字化管理办法》。</w:t>
      </w:r>
    </w:p>
    <w:p>
      <w:pPr>
        <w:widowControl/>
        <w:adjustRightInd w:val="0"/>
        <w:snapToGrid w:val="0"/>
        <w:spacing w:line="600" w:lineRule="exact"/>
        <w:ind w:firstLine="640" w:firstLineChars="200"/>
        <w:rPr>
          <w:rStyle w:val="26"/>
          <w:rFonts w:hint="default" w:ascii="Times New Roman" w:hAnsi="Times New Roman" w:eastAsia="黑体" w:cs="Times New Roman"/>
        </w:rPr>
      </w:pPr>
      <w:bookmarkStart w:id="22" w:name="_Toc15377200"/>
      <w:r>
        <w:rPr>
          <w:rFonts w:hint="default" w:ascii="Times New Roman" w:hAnsi="Times New Roman" w:eastAsia="黑体" w:cs="Times New Roman"/>
          <w:color w:val="000000"/>
          <w:sz w:val="32"/>
          <w:szCs w:val="32"/>
        </w:rPr>
        <w:t>二、</w:t>
      </w:r>
      <w:r>
        <w:rPr>
          <w:rFonts w:hint="default" w:ascii="Times New Roman" w:hAnsi="Times New Roman" w:eastAsia="黑体" w:cs="Times New Roman"/>
          <w:b w:val="0"/>
          <w:bCs w:val="0"/>
          <w:color w:val="000000"/>
          <w:sz w:val="32"/>
          <w:szCs w:val="32"/>
        </w:rPr>
        <w:t>机</w:t>
      </w:r>
      <w:r>
        <w:rPr>
          <w:rStyle w:val="26"/>
          <w:rFonts w:hint="default" w:ascii="Times New Roman" w:hAnsi="Times New Roman" w:eastAsia="黑体" w:cs="Times New Roman"/>
          <w:b w:val="0"/>
          <w:bCs w:val="0"/>
        </w:rPr>
        <w:t>构设置</w:t>
      </w:r>
      <w:bookmarkEnd w:id="22"/>
    </w:p>
    <w:p>
      <w:pPr>
        <w:ind w:firstLine="800" w:firstLineChars="2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市档案馆为1个一级预算单位（参照公务员法管理的事业单位）。下属二级单位0个，其中行政单位0个，参照公务员法管理的事业单位</w:t>
      </w:r>
      <w:r>
        <w:rPr>
          <w:rFonts w:hint="default" w:ascii="Times New Roman" w:hAnsi="Times New Roman" w:eastAsia="仿宋" w:cs="Times New Roman"/>
          <w:bCs/>
          <w:sz w:val="32"/>
          <w:szCs w:val="32"/>
        </w:rPr>
        <w:t>0</w:t>
      </w:r>
      <w:r>
        <w:rPr>
          <w:rFonts w:hint="default" w:ascii="Times New Roman" w:hAnsi="Times New Roman" w:eastAsia="仿宋" w:cs="Times New Roman"/>
          <w:sz w:val="32"/>
          <w:szCs w:val="32"/>
        </w:rPr>
        <w:t>个，其他事业单位0个。</w:t>
      </w:r>
    </w:p>
    <w:p>
      <w:pPr>
        <w:snapToGrid w:val="0"/>
        <w:spacing w:line="58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设办公室、档案接收科、档案征集整理科、档案保管利用科、档案编研科、信息技术科、档案开发展览科（爱国主义教育基地工作科）、组织人事科8个科室。</w:t>
      </w:r>
    </w:p>
    <w:p>
      <w:pPr>
        <w:snapToGrid w:val="0"/>
        <w:spacing w:line="58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年12月31日，档案馆在编</w:t>
      </w:r>
      <w:r>
        <w:rPr>
          <w:rFonts w:hint="default" w:ascii="Times New Roman" w:hAnsi="Times New Roman" w:eastAsia="仿宋" w:cs="Times New Roman"/>
          <w:sz w:val="32"/>
          <w:szCs w:val="32"/>
          <w:lang w:val="en-US" w:eastAsia="zh-CN"/>
        </w:rPr>
        <w:t>29</w:t>
      </w:r>
      <w:r>
        <w:rPr>
          <w:rFonts w:hint="default" w:ascii="Times New Roman" w:hAnsi="Times New Roman" w:eastAsia="仿宋" w:cs="Times New Roman"/>
          <w:sz w:val="32"/>
          <w:szCs w:val="32"/>
        </w:rPr>
        <w:t>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其中参公事业编制27人，</w:t>
      </w:r>
      <w:r>
        <w:rPr>
          <w:rFonts w:hint="default" w:ascii="Times New Roman" w:hAnsi="Times New Roman" w:eastAsia="仿宋" w:cs="Times New Roman"/>
          <w:sz w:val="32"/>
          <w:szCs w:val="32"/>
          <w:lang w:eastAsia="zh-CN"/>
        </w:rPr>
        <w:t>事业</w:t>
      </w:r>
      <w:r>
        <w:rPr>
          <w:rFonts w:hint="default" w:ascii="Times New Roman" w:hAnsi="Times New Roman" w:eastAsia="仿宋" w:cs="Times New Roman"/>
          <w:sz w:val="32"/>
          <w:szCs w:val="32"/>
        </w:rPr>
        <w:t>工勤编制1人，86号文占编聘用1人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现有退休职工24人。</w:t>
      </w:r>
    </w:p>
    <w:p>
      <w:pPr>
        <w:snapToGrid w:val="0"/>
        <w:spacing w:line="588" w:lineRule="exact"/>
        <w:ind w:firstLine="640" w:firstLineChars="200"/>
        <w:rPr>
          <w:rFonts w:hint="default" w:ascii="Times New Roman" w:hAnsi="Times New Roman" w:eastAsia="仿宋" w:cs="Times New Roman"/>
          <w:sz w:val="32"/>
          <w:szCs w:val="32"/>
        </w:rPr>
      </w:pPr>
    </w:p>
    <w:p>
      <w:pPr>
        <w:snapToGrid w:val="0"/>
        <w:spacing w:line="588" w:lineRule="exact"/>
        <w:ind w:firstLine="640" w:firstLineChars="200"/>
        <w:rPr>
          <w:rFonts w:hint="default" w:ascii="Times New Roman" w:hAnsi="Times New Roman" w:eastAsia="仿宋_GB2312" w:cs="Times New Roman"/>
          <w:sz w:val="32"/>
          <w:szCs w:val="32"/>
        </w:rPr>
      </w:pPr>
    </w:p>
    <w:p>
      <w:pPr>
        <w:snapToGrid w:val="0"/>
        <w:spacing w:line="588" w:lineRule="exact"/>
        <w:ind w:firstLine="640" w:firstLineChars="200"/>
        <w:rPr>
          <w:rFonts w:hint="default" w:ascii="Times New Roman" w:hAnsi="Times New Roman" w:eastAsia="仿宋_GB2312" w:cs="Times New Roman"/>
          <w:sz w:val="32"/>
          <w:szCs w:val="32"/>
        </w:rPr>
      </w:pPr>
    </w:p>
    <w:p>
      <w:pPr>
        <w:snapToGrid w:val="0"/>
        <w:spacing w:line="588" w:lineRule="exact"/>
        <w:rPr>
          <w:rFonts w:hint="default" w:ascii="Times New Roman" w:hAnsi="Times New Roman" w:eastAsia="仿宋_GB2312" w:cs="Times New Roman"/>
          <w:sz w:val="32"/>
          <w:szCs w:val="32"/>
        </w:rPr>
      </w:pPr>
    </w:p>
    <w:p>
      <w:pPr>
        <w:snapToGrid w:val="0"/>
        <w:spacing w:line="588" w:lineRule="exact"/>
        <w:ind w:firstLine="640" w:firstLineChars="200"/>
        <w:rPr>
          <w:rFonts w:hint="default" w:ascii="Times New Roman" w:hAnsi="Times New Roman" w:eastAsia="仿宋_GB2312" w:cs="Times New Roman"/>
          <w:sz w:val="32"/>
          <w:szCs w:val="32"/>
        </w:rPr>
      </w:pPr>
    </w:p>
    <w:p>
      <w:pPr>
        <w:snapToGrid w:val="0"/>
        <w:spacing w:line="588" w:lineRule="exact"/>
        <w:ind w:firstLine="640" w:firstLineChars="200"/>
        <w:rPr>
          <w:rFonts w:hint="default" w:ascii="Times New Roman" w:hAnsi="Times New Roman" w:eastAsia="仿宋_GB2312" w:cs="Times New Roman"/>
          <w:sz w:val="32"/>
          <w:szCs w:val="32"/>
        </w:rPr>
      </w:pPr>
    </w:p>
    <w:p>
      <w:pPr>
        <w:snapToGrid w:val="0"/>
        <w:spacing w:line="588" w:lineRule="exact"/>
        <w:ind w:firstLine="640" w:firstLineChars="200"/>
        <w:rPr>
          <w:rFonts w:hint="default" w:ascii="Times New Roman" w:hAnsi="Times New Roman" w:eastAsia="仿宋_GB2312" w:cs="Times New Roman"/>
          <w:sz w:val="32"/>
          <w:szCs w:val="32"/>
        </w:rPr>
      </w:pPr>
    </w:p>
    <w:p>
      <w:pPr>
        <w:snapToGrid w:val="0"/>
        <w:spacing w:line="588" w:lineRule="exact"/>
        <w:ind w:firstLine="640" w:firstLineChars="200"/>
        <w:rPr>
          <w:rFonts w:hint="default" w:ascii="Times New Roman" w:hAnsi="Times New Roman" w:eastAsia="仿宋_GB2312" w:cs="Times New Roman"/>
          <w:sz w:val="32"/>
          <w:szCs w:val="32"/>
        </w:rPr>
      </w:pPr>
    </w:p>
    <w:p>
      <w:pPr>
        <w:snapToGrid w:val="0"/>
        <w:spacing w:line="588" w:lineRule="exact"/>
        <w:ind w:firstLine="640" w:firstLineChars="200"/>
        <w:rPr>
          <w:rFonts w:hint="default" w:ascii="Times New Roman" w:hAnsi="Times New Roman" w:eastAsia="仿宋_GB2312" w:cs="Times New Roman"/>
          <w:sz w:val="32"/>
          <w:szCs w:val="32"/>
        </w:rPr>
      </w:pPr>
    </w:p>
    <w:p>
      <w:pPr>
        <w:pStyle w:val="2"/>
        <w:rPr>
          <w:rFonts w:hint="default"/>
        </w:rPr>
      </w:pPr>
    </w:p>
    <w:p>
      <w:pPr>
        <w:snapToGrid w:val="0"/>
        <w:spacing w:line="588" w:lineRule="exact"/>
        <w:ind w:firstLine="640" w:firstLineChars="200"/>
        <w:rPr>
          <w:rFonts w:hint="default" w:ascii="Times New Roman" w:hAnsi="Times New Roman" w:eastAsia="仿宋_GB2312" w:cs="Times New Roman"/>
          <w:sz w:val="32"/>
          <w:szCs w:val="32"/>
        </w:rPr>
      </w:pPr>
    </w:p>
    <w:p>
      <w:pPr>
        <w:pStyle w:val="3"/>
        <w:jc w:val="center"/>
        <w:rPr>
          <w:rFonts w:hint="default" w:ascii="Times New Roman" w:hAnsi="Times New Roman" w:eastAsia="黑体" w:cs="Times New Roman"/>
          <w:b w:val="0"/>
          <w:sz w:val="44"/>
          <w:szCs w:val="44"/>
        </w:rPr>
      </w:pPr>
      <w:bookmarkStart w:id="23" w:name="_Toc15377204"/>
      <w:bookmarkStart w:id="24" w:name="_Toc51100203"/>
      <w:r>
        <w:rPr>
          <w:rFonts w:hint="default" w:ascii="Times New Roman" w:hAnsi="Times New Roman" w:eastAsia="黑体" w:cs="Times New Roman"/>
          <w:b w:val="0"/>
          <w:sz w:val="44"/>
          <w:szCs w:val="44"/>
        </w:rPr>
        <w:t>第二部分 202</w:t>
      </w:r>
      <w:r>
        <w:rPr>
          <w:rFonts w:hint="default" w:ascii="Times New Roman" w:hAnsi="Times New Roman" w:eastAsia="黑体" w:cs="Times New Roman"/>
          <w:b w:val="0"/>
          <w:sz w:val="44"/>
          <w:szCs w:val="44"/>
          <w:lang w:val="en-US" w:eastAsia="zh-CN"/>
        </w:rPr>
        <w:t>1</w:t>
      </w:r>
      <w:r>
        <w:rPr>
          <w:rFonts w:hint="default" w:ascii="Times New Roman" w:hAnsi="Times New Roman" w:eastAsia="黑体" w:cs="Times New Roman"/>
          <w:b w:val="0"/>
          <w:sz w:val="44"/>
          <w:szCs w:val="44"/>
        </w:rPr>
        <w:t>年度部门决算情况说</w:t>
      </w:r>
      <w:bookmarkEnd w:id="23"/>
      <w:r>
        <w:rPr>
          <w:rFonts w:hint="default" w:ascii="Times New Roman" w:hAnsi="Times New Roman" w:eastAsia="黑体" w:cs="Times New Roman"/>
          <w:b w:val="0"/>
          <w:sz w:val="44"/>
          <w:szCs w:val="44"/>
        </w:rPr>
        <w:t>明</w:t>
      </w:r>
      <w:bookmarkEnd w:id="24"/>
    </w:p>
    <w:p>
      <w:pPr>
        <w:pStyle w:val="24"/>
        <w:spacing w:line="600" w:lineRule="exact"/>
        <w:ind w:firstLine="640"/>
        <w:outlineLvl w:val="1"/>
        <w:rPr>
          <w:rStyle w:val="26"/>
          <w:rFonts w:hint="default" w:ascii="Times New Roman" w:hAnsi="Times New Roman" w:eastAsia="黑体" w:cs="Times New Roman"/>
          <w:b w:val="0"/>
        </w:rPr>
      </w:pPr>
      <w:bookmarkStart w:id="25" w:name="_Toc51100204"/>
      <w:bookmarkStart w:id="26" w:name="_Toc15377205"/>
      <w:r>
        <w:rPr>
          <w:rFonts w:hint="default" w:ascii="Times New Roman" w:hAnsi="Times New Roman" w:eastAsia="黑体" w:cs="Times New Roman"/>
          <w:color w:val="000000"/>
          <w:sz w:val="32"/>
          <w:szCs w:val="32"/>
        </w:rPr>
        <w:t>一、收</w:t>
      </w:r>
      <w:r>
        <w:rPr>
          <w:rStyle w:val="26"/>
          <w:rFonts w:hint="default" w:ascii="Times New Roman" w:hAnsi="Times New Roman" w:eastAsia="黑体" w:cs="Times New Roman"/>
          <w:b w:val="0"/>
        </w:rPr>
        <w:t>入支出决算总体情况说明</w:t>
      </w:r>
      <w:bookmarkEnd w:id="25"/>
      <w:bookmarkEnd w:id="26"/>
    </w:p>
    <w:p>
      <w:pPr>
        <w:spacing w:line="600" w:lineRule="exact"/>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年度收、支总计</w:t>
      </w:r>
      <w:r>
        <w:rPr>
          <w:rFonts w:hint="default" w:ascii="Times New Roman" w:hAnsi="Times New Roman" w:eastAsia="仿宋" w:cs="Times New Roman"/>
          <w:color w:val="auto"/>
          <w:sz w:val="32"/>
          <w:szCs w:val="32"/>
          <w:lang w:val="en-US" w:eastAsia="zh-CN"/>
        </w:rPr>
        <w:t>818.47</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val="en-US" w:eastAsia="zh-CN"/>
        </w:rPr>
        <w:t>827.24</w:t>
      </w:r>
      <w:r>
        <w:rPr>
          <w:rFonts w:hint="default" w:ascii="Times New Roman" w:hAnsi="Times New Roman" w:eastAsia="仿宋" w:cs="Times New Roman"/>
          <w:color w:val="auto"/>
          <w:sz w:val="32"/>
          <w:szCs w:val="32"/>
        </w:rPr>
        <w:t>万元。与</w:t>
      </w:r>
      <w:r>
        <w:rPr>
          <w:rFonts w:hint="default" w:ascii="Times New Roman" w:hAnsi="Times New Roman" w:eastAsia="仿宋" w:cs="Times New Roman"/>
          <w:color w:val="auto"/>
          <w:sz w:val="32"/>
          <w:szCs w:val="32"/>
          <w:lang w:val="en-US" w:eastAsia="zh-CN"/>
        </w:rPr>
        <w:t>2020</w:t>
      </w:r>
      <w:r>
        <w:rPr>
          <w:rFonts w:hint="default" w:ascii="Times New Roman" w:hAnsi="Times New Roman" w:eastAsia="仿宋" w:cs="Times New Roman"/>
          <w:color w:val="auto"/>
          <w:sz w:val="32"/>
          <w:szCs w:val="32"/>
        </w:rPr>
        <w:t>年相比，收、支总计各增加</w:t>
      </w:r>
      <w:r>
        <w:rPr>
          <w:rFonts w:hint="default" w:ascii="Times New Roman" w:hAnsi="Times New Roman" w:eastAsia="仿宋" w:cs="Times New Roman"/>
          <w:color w:val="auto"/>
          <w:sz w:val="32"/>
          <w:szCs w:val="32"/>
          <w:lang w:val="en-US" w:eastAsia="zh-CN"/>
        </w:rPr>
        <w:t>101.04</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val="en-US" w:eastAsia="zh-CN"/>
        </w:rPr>
        <w:t>97.69</w:t>
      </w:r>
      <w:r>
        <w:rPr>
          <w:rFonts w:hint="default" w:ascii="Times New Roman" w:hAnsi="Times New Roman" w:eastAsia="仿宋" w:cs="Times New Roman"/>
          <w:color w:val="auto"/>
          <w:sz w:val="32"/>
          <w:szCs w:val="32"/>
        </w:rPr>
        <w:t>万元，各增加了</w:t>
      </w:r>
      <w:r>
        <w:rPr>
          <w:rFonts w:hint="default" w:ascii="Times New Roman" w:hAnsi="Times New Roman" w:eastAsia="仿宋" w:cs="Times New Roman"/>
          <w:color w:val="auto"/>
          <w:sz w:val="32"/>
          <w:szCs w:val="32"/>
          <w:lang w:val="en-US" w:eastAsia="zh-CN"/>
        </w:rPr>
        <w:t>14.08</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13.39</w:t>
      </w:r>
      <w:r>
        <w:rPr>
          <w:rFonts w:hint="default" w:ascii="Times New Roman" w:hAnsi="Times New Roman" w:eastAsia="仿宋" w:cs="Times New Roman"/>
          <w:color w:val="auto"/>
          <w:sz w:val="32"/>
          <w:szCs w:val="32"/>
        </w:rPr>
        <w:t>%。主要变动原因是</w:t>
      </w:r>
      <w:r>
        <w:rPr>
          <w:rFonts w:hint="default" w:ascii="Times New Roman" w:hAnsi="Times New Roman" w:eastAsia="仿宋" w:cs="Times New Roman"/>
          <w:color w:val="auto"/>
          <w:sz w:val="32"/>
          <w:szCs w:val="32"/>
          <w:lang w:eastAsia="zh-CN"/>
        </w:rPr>
        <w:t>人员增加使公用及人员经费增加、</w:t>
      </w:r>
      <w:r>
        <w:rPr>
          <w:rFonts w:hint="default" w:ascii="Times New Roman" w:hAnsi="Times New Roman" w:eastAsia="仿宋" w:cs="Times New Roman"/>
          <w:color w:val="auto"/>
          <w:sz w:val="32"/>
          <w:szCs w:val="32"/>
        </w:rPr>
        <w:t>市档案馆搬迁经费</w:t>
      </w:r>
      <w:r>
        <w:rPr>
          <w:rFonts w:hint="default" w:ascii="Times New Roman" w:hAnsi="Times New Roman" w:eastAsia="仿宋" w:cs="Times New Roman"/>
          <w:color w:val="auto"/>
          <w:sz w:val="32"/>
          <w:szCs w:val="32"/>
          <w:lang w:eastAsia="zh-CN"/>
        </w:rPr>
        <w:t>、李国超艺术档案征集及死亡抚恤经费增加</w:t>
      </w:r>
      <w:r>
        <w:rPr>
          <w:rFonts w:hint="default" w:ascii="Times New Roman" w:hAnsi="Times New Roman" w:eastAsia="仿宋" w:cs="Times New Roman"/>
          <w:color w:val="auto"/>
          <w:sz w:val="32"/>
          <w:szCs w:val="32"/>
        </w:rPr>
        <w:t>。</w: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drawing>
          <wp:anchor distT="0" distB="0" distL="114300" distR="114300" simplePos="0" relativeHeight="251664384" behindDoc="1" locked="0" layoutInCell="1" allowOverlap="1">
            <wp:simplePos x="0" y="0"/>
            <wp:positionH relativeFrom="column">
              <wp:posOffset>335915</wp:posOffset>
            </wp:positionH>
            <wp:positionV relativeFrom="paragraph">
              <wp:posOffset>261620</wp:posOffset>
            </wp:positionV>
            <wp:extent cx="4486275" cy="2133600"/>
            <wp:effectExtent l="0" t="0" r="9525" b="19050"/>
            <wp:wrapTight wrapText="bothSides">
              <wp:wrapPolygon>
                <wp:start x="0" y="0"/>
                <wp:lineTo x="0" y="21600"/>
                <wp:lineTo x="21554" y="21600"/>
                <wp:lineTo x="21554" y="0"/>
                <wp:lineTo x="0" y="0"/>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jc w:val="left"/>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（图1：收、支决算总计变动情况图）（柱状图）</w:t>
      </w:r>
    </w:p>
    <w:p>
      <w:pPr>
        <w:spacing w:line="600" w:lineRule="exact"/>
        <w:ind w:firstLine="640" w:firstLineChars="200"/>
        <w:jc w:val="left"/>
        <w:rPr>
          <w:rFonts w:hint="default" w:ascii="Times New Roman" w:hAnsi="Times New Roman" w:eastAsia="仿宋_GB2312" w:cs="Times New Roman"/>
          <w:color w:val="000000"/>
          <w:sz w:val="32"/>
          <w:szCs w:val="32"/>
        </w:rPr>
      </w:pPr>
    </w:p>
    <w:p>
      <w:pPr>
        <w:pStyle w:val="24"/>
        <w:spacing w:line="600" w:lineRule="exact"/>
        <w:ind w:firstLine="640"/>
        <w:outlineLvl w:val="1"/>
        <w:rPr>
          <w:rStyle w:val="26"/>
          <w:rFonts w:hint="default" w:ascii="Times New Roman" w:hAnsi="Times New Roman" w:eastAsia="黑体" w:cs="Times New Roman"/>
          <w:b w:val="0"/>
        </w:rPr>
      </w:pPr>
      <w:bookmarkStart w:id="27" w:name="_Toc15377206"/>
      <w:bookmarkStart w:id="28" w:name="_Toc51100205"/>
      <w:r>
        <w:rPr>
          <w:rFonts w:hint="default" w:ascii="Times New Roman" w:hAnsi="Times New Roman" w:eastAsia="黑体" w:cs="Times New Roman"/>
          <w:color w:val="000000"/>
          <w:sz w:val="32"/>
          <w:szCs w:val="32"/>
        </w:rPr>
        <w:t>二、收</w:t>
      </w:r>
      <w:r>
        <w:rPr>
          <w:rStyle w:val="26"/>
          <w:rFonts w:hint="default" w:ascii="Times New Roman" w:hAnsi="Times New Roman" w:eastAsia="黑体" w:cs="Times New Roman"/>
          <w:b w:val="0"/>
        </w:rPr>
        <w:t>入决算情况说明</w:t>
      </w:r>
      <w:bookmarkEnd w:id="27"/>
      <w:bookmarkEnd w:id="28"/>
    </w:p>
    <w:p>
      <w:pPr>
        <w:spacing w:line="600" w:lineRule="exact"/>
        <w:ind w:firstLine="640" w:firstLineChars="200"/>
        <w:outlineLvl w:val="1"/>
        <w:rPr>
          <w:rFonts w:hint="default" w:ascii="Times New Roman" w:hAnsi="Times New Roman" w:eastAsia="仿宋" w:cs="Times New Roman"/>
          <w:color w:val="000000"/>
          <w:sz w:val="32"/>
          <w:szCs w:val="32"/>
        </w:rPr>
      </w:pPr>
      <w:bookmarkStart w:id="29" w:name="_Toc51100206"/>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年本年收入合计</w:t>
      </w:r>
      <w:r>
        <w:rPr>
          <w:rFonts w:hint="default" w:ascii="Times New Roman" w:hAnsi="Times New Roman" w:eastAsia="仿宋" w:cs="Times New Roman"/>
          <w:color w:val="000000"/>
          <w:sz w:val="32"/>
          <w:szCs w:val="32"/>
          <w:lang w:val="en-US" w:eastAsia="zh-CN"/>
        </w:rPr>
        <w:t>818.47</w:t>
      </w:r>
      <w:r>
        <w:rPr>
          <w:rFonts w:hint="default" w:ascii="Times New Roman" w:hAnsi="Times New Roman" w:eastAsia="仿宋" w:cs="Times New Roman"/>
          <w:color w:val="000000"/>
          <w:sz w:val="32"/>
          <w:szCs w:val="32"/>
        </w:rPr>
        <w:t>万元，其中：一般公共预算财政拨款收入</w:t>
      </w:r>
      <w:r>
        <w:rPr>
          <w:rFonts w:hint="default" w:ascii="Times New Roman" w:hAnsi="Times New Roman" w:eastAsia="仿宋" w:cs="Times New Roman"/>
          <w:color w:val="000000"/>
          <w:sz w:val="32"/>
          <w:szCs w:val="32"/>
          <w:lang w:val="en-US" w:eastAsia="zh-CN"/>
        </w:rPr>
        <w:t>818.47</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100</w:t>
      </w:r>
      <w:r>
        <w:rPr>
          <w:rFonts w:hint="default" w:ascii="Times New Roman" w:hAnsi="Times New Roman" w:eastAsia="仿宋" w:cs="Times New Roman"/>
          <w:color w:val="000000"/>
          <w:sz w:val="32"/>
          <w:szCs w:val="32"/>
        </w:rPr>
        <w:t>%；政府性基金预算财政拨款收入0万元，占0%；国有资本经营预算财政拨款收入0万元，占0%；事业收入0万元，占0%；经营收入0万元，占0%；附属单位上缴收入0万元，占0%；其他收入0万元，占0%。</w:t>
      </w:r>
      <w:bookmarkEnd w:id="29"/>
    </w:p>
    <w:p>
      <w:pPr>
        <w:spacing w:line="600" w:lineRule="exact"/>
        <w:ind w:firstLine="640" w:firstLineChars="200"/>
        <w:outlineLvl w:val="1"/>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000000"/>
          <w:sz w:val="32"/>
          <w:szCs w:val="32"/>
        </w:rPr>
        <w:drawing>
          <wp:anchor distT="0" distB="0" distL="114300" distR="114300" simplePos="0" relativeHeight="251654144" behindDoc="1" locked="0" layoutInCell="1" allowOverlap="1">
            <wp:simplePos x="0" y="0"/>
            <wp:positionH relativeFrom="column">
              <wp:posOffset>626110</wp:posOffset>
            </wp:positionH>
            <wp:positionV relativeFrom="paragraph">
              <wp:posOffset>-567690</wp:posOffset>
            </wp:positionV>
            <wp:extent cx="3609975" cy="1905000"/>
            <wp:effectExtent l="0" t="0" r="0" b="0"/>
            <wp:wrapTight wrapText="bothSides">
              <wp:wrapPolygon>
                <wp:start x="16072" y="8640"/>
                <wp:lineTo x="15730" y="9288"/>
                <wp:lineTo x="15616" y="12744"/>
                <wp:lineTo x="18351" y="12744"/>
                <wp:lineTo x="20403" y="11880"/>
                <wp:lineTo x="20745" y="9288"/>
                <wp:lineTo x="19719" y="8640"/>
                <wp:lineTo x="16072" y="8640"/>
              </wp:wrapPolygon>
            </wp:wrapTight>
            <wp:docPr id="3" name="图表 3"/>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default" w:ascii="Times New Roman" w:hAnsi="Times New Roman" w:eastAsia="仿宋_GB2312" w:cs="Times New Roman"/>
          <w:color w:val="FF0000"/>
          <w:sz w:val="32"/>
          <w:szCs w:val="32"/>
        </w:rPr>
      </w:pPr>
    </w:p>
    <w:p>
      <w:pPr>
        <w:spacing w:line="600" w:lineRule="exact"/>
        <w:ind w:firstLine="640" w:firstLineChars="200"/>
        <w:rPr>
          <w:rFonts w:hint="default" w:ascii="Times New Roman" w:hAnsi="Times New Roman" w:eastAsia="仿宋_GB2312" w:cs="Times New Roman"/>
          <w:color w:val="FF0000"/>
          <w:sz w:val="32"/>
          <w:szCs w:val="32"/>
        </w:rPr>
      </w:pPr>
    </w:p>
    <w:p>
      <w:pPr>
        <w:spacing w:line="600" w:lineRule="exact"/>
        <w:ind w:firstLine="640" w:firstLineChars="200"/>
        <w:rPr>
          <w:rFonts w:hint="default" w:ascii="Times New Roman" w:hAnsi="Times New Roman" w:eastAsia="仿宋_GB2312" w:cs="Times New Roman"/>
          <w:color w:val="FF0000"/>
          <w:sz w:val="32"/>
          <w:szCs w:val="32"/>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（图2：收入决算结构图）（饼状图）</w: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pStyle w:val="24"/>
        <w:spacing w:line="600" w:lineRule="exact"/>
        <w:ind w:firstLine="640"/>
        <w:outlineLvl w:val="1"/>
        <w:rPr>
          <w:rStyle w:val="26"/>
          <w:rFonts w:hint="default" w:ascii="Times New Roman" w:hAnsi="Times New Roman" w:eastAsia="黑体" w:cs="Times New Roman"/>
          <w:b w:val="0"/>
        </w:rPr>
      </w:pPr>
      <w:bookmarkStart w:id="30" w:name="_Toc51100207"/>
      <w:bookmarkStart w:id="31" w:name="_Toc15377207"/>
      <w:r>
        <w:rPr>
          <w:rFonts w:hint="default" w:ascii="Times New Roman" w:hAnsi="Times New Roman" w:eastAsia="黑体" w:cs="Times New Roman"/>
          <w:color w:val="000000"/>
          <w:sz w:val="32"/>
          <w:szCs w:val="32"/>
        </w:rPr>
        <w:t>三、支</w:t>
      </w:r>
      <w:r>
        <w:rPr>
          <w:rStyle w:val="26"/>
          <w:rFonts w:hint="default" w:ascii="Times New Roman" w:hAnsi="Times New Roman" w:eastAsia="黑体" w:cs="Times New Roman"/>
          <w:b w:val="0"/>
        </w:rPr>
        <w:t>出决算情况说明</w:t>
      </w:r>
      <w:bookmarkEnd w:id="30"/>
      <w:bookmarkEnd w:id="31"/>
    </w:p>
    <w:p>
      <w:pPr>
        <w:spacing w:line="600" w:lineRule="exact"/>
        <w:ind w:firstLine="640"/>
        <w:rPr>
          <w:rFonts w:hint="default" w:ascii="Times New Roman" w:hAnsi="Times New Roman" w:eastAsia="仿宋" w:cs="Times New Roman"/>
          <w:color w:val="000000"/>
          <w:sz w:val="32"/>
          <w:szCs w:val="32"/>
          <w:shd w:val="pct10" w:color="auto" w:fill="FFFFFF"/>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年本年支出合计</w:t>
      </w:r>
      <w:r>
        <w:rPr>
          <w:rFonts w:hint="default" w:ascii="Times New Roman" w:hAnsi="Times New Roman" w:eastAsia="仿宋" w:cs="Times New Roman"/>
          <w:color w:val="000000"/>
          <w:sz w:val="32"/>
          <w:szCs w:val="32"/>
          <w:lang w:val="en-US" w:eastAsia="zh-CN"/>
        </w:rPr>
        <w:t>827.24</w:t>
      </w:r>
      <w:r>
        <w:rPr>
          <w:rFonts w:hint="default" w:ascii="Times New Roman" w:hAnsi="Times New Roman" w:eastAsia="仿宋" w:cs="Times New Roman"/>
          <w:color w:val="000000"/>
          <w:sz w:val="32"/>
          <w:szCs w:val="32"/>
        </w:rPr>
        <w:t>万元，其中：基本支出</w:t>
      </w:r>
      <w:r>
        <w:rPr>
          <w:rFonts w:hint="default" w:ascii="Times New Roman" w:hAnsi="Times New Roman" w:eastAsia="仿宋" w:cs="Times New Roman"/>
          <w:color w:val="000000"/>
          <w:sz w:val="32"/>
          <w:szCs w:val="32"/>
          <w:lang w:val="en-US" w:eastAsia="zh-CN"/>
        </w:rPr>
        <w:t>736.45</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89.02</w:t>
      </w:r>
      <w:r>
        <w:rPr>
          <w:rFonts w:hint="default" w:ascii="Times New Roman" w:hAnsi="Times New Roman" w:eastAsia="仿宋" w:cs="Times New Roman"/>
          <w:color w:val="000000"/>
          <w:sz w:val="32"/>
          <w:szCs w:val="32"/>
        </w:rPr>
        <w:t>%；项目支出</w:t>
      </w:r>
      <w:r>
        <w:rPr>
          <w:rFonts w:hint="default" w:ascii="Times New Roman" w:hAnsi="Times New Roman" w:eastAsia="仿宋" w:cs="Times New Roman"/>
          <w:color w:val="000000"/>
          <w:sz w:val="32"/>
          <w:szCs w:val="32"/>
          <w:lang w:val="en-US" w:eastAsia="zh-CN"/>
        </w:rPr>
        <w:t>90.79</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10.98</w:t>
      </w:r>
      <w:r>
        <w:rPr>
          <w:rFonts w:hint="default" w:ascii="Times New Roman" w:hAnsi="Times New Roman" w:eastAsia="仿宋" w:cs="Times New Roman"/>
          <w:color w:val="000000"/>
          <w:sz w:val="32"/>
          <w:szCs w:val="32"/>
        </w:rPr>
        <w:t>%；上缴上级支出0万元，占0%；经营支出0万元，占0%；对附属单位补助支出0万元，占0%。</w:t>
      </w:r>
    </w:p>
    <w:p>
      <w:pPr>
        <w:spacing w:line="60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000000"/>
          <w:sz w:val="32"/>
          <w:szCs w:val="32"/>
        </w:rPr>
        <w:drawing>
          <wp:anchor distT="0" distB="0" distL="114300" distR="114300" simplePos="0" relativeHeight="251652096" behindDoc="1" locked="0" layoutInCell="1" allowOverlap="1">
            <wp:simplePos x="0" y="0"/>
            <wp:positionH relativeFrom="column">
              <wp:posOffset>428625</wp:posOffset>
            </wp:positionH>
            <wp:positionV relativeFrom="paragraph">
              <wp:posOffset>219075</wp:posOffset>
            </wp:positionV>
            <wp:extent cx="3381375" cy="2076450"/>
            <wp:effectExtent l="0" t="0" r="0" b="0"/>
            <wp:wrapTight wrapText="bothSides">
              <wp:wrapPolygon>
                <wp:start x="16915" y="7927"/>
                <wp:lineTo x="16915" y="11890"/>
                <wp:lineTo x="20079" y="11890"/>
                <wp:lineTo x="19957" y="8719"/>
                <wp:lineTo x="19835" y="7927"/>
                <wp:lineTo x="16915" y="7927"/>
              </wp:wrapPolygon>
            </wp:wrapTight>
            <wp:docPr id="2" name="图表 2"/>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default" w:ascii="Times New Roman" w:hAnsi="Times New Roman" w:eastAsia="仿宋_GB2312" w:cs="Times New Roman"/>
          <w:color w:val="FF0000"/>
          <w:sz w:val="32"/>
          <w:szCs w:val="32"/>
        </w:rPr>
      </w:pPr>
    </w:p>
    <w:p>
      <w:pPr>
        <w:spacing w:line="600" w:lineRule="exact"/>
        <w:ind w:firstLine="640" w:firstLineChars="200"/>
        <w:rPr>
          <w:rFonts w:hint="default" w:ascii="Times New Roman" w:hAnsi="Times New Roman" w:eastAsia="仿宋_GB2312" w:cs="Times New Roman"/>
          <w:color w:val="FF0000"/>
          <w:sz w:val="32"/>
          <w:szCs w:val="32"/>
        </w:rPr>
      </w:pPr>
    </w:p>
    <w:p>
      <w:pPr>
        <w:spacing w:line="600" w:lineRule="exact"/>
        <w:ind w:firstLine="640" w:firstLineChars="200"/>
        <w:rPr>
          <w:rFonts w:hint="default" w:ascii="Times New Roman" w:hAnsi="Times New Roman" w:eastAsia="仿宋_GB2312" w:cs="Times New Roman"/>
          <w:color w:val="FF0000"/>
          <w:sz w:val="32"/>
          <w:szCs w:val="32"/>
        </w:rPr>
      </w:pPr>
    </w:p>
    <w:p>
      <w:pPr>
        <w:spacing w:line="600" w:lineRule="exact"/>
        <w:ind w:firstLine="640" w:firstLineChars="200"/>
        <w:rPr>
          <w:rFonts w:hint="default" w:ascii="Times New Roman" w:hAnsi="Times New Roman" w:eastAsia="仿宋_GB2312" w:cs="Times New Roman"/>
          <w:color w:val="FF0000"/>
          <w:sz w:val="32"/>
          <w:szCs w:val="32"/>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（图3：支出决算结构图）（饼状图）</w:t>
      </w:r>
    </w:p>
    <w:p>
      <w:pPr>
        <w:spacing w:line="600" w:lineRule="exact"/>
        <w:ind w:firstLine="640" w:firstLineChars="200"/>
        <w:outlineLvl w:val="1"/>
        <w:rPr>
          <w:rStyle w:val="26"/>
          <w:rFonts w:hint="default" w:ascii="Times New Roman" w:hAnsi="Times New Roman" w:eastAsia="黑体" w:cs="Times New Roman"/>
          <w:b w:val="0"/>
          <w:color w:val="auto"/>
        </w:rPr>
      </w:pPr>
      <w:bookmarkStart w:id="32" w:name="_Toc15377208"/>
      <w:bookmarkStart w:id="33" w:name="_Toc51100208"/>
      <w:r>
        <w:rPr>
          <w:rFonts w:hint="default" w:ascii="Times New Roman" w:hAnsi="Times New Roman" w:eastAsia="黑体" w:cs="Times New Roman"/>
          <w:color w:val="auto"/>
          <w:sz w:val="32"/>
          <w:szCs w:val="32"/>
        </w:rPr>
        <w:t>四、财</w:t>
      </w:r>
      <w:r>
        <w:rPr>
          <w:rStyle w:val="26"/>
          <w:rFonts w:hint="default" w:ascii="Times New Roman" w:hAnsi="Times New Roman" w:eastAsia="黑体" w:cs="Times New Roman"/>
          <w:b w:val="0"/>
          <w:color w:val="auto"/>
        </w:rPr>
        <w:t>政拨款收入、支出决算总体情况说明</w:t>
      </w:r>
      <w:bookmarkEnd w:id="32"/>
      <w:bookmarkEnd w:id="33"/>
    </w:p>
    <w:p>
      <w:pPr>
        <w:spacing w:line="600" w:lineRule="exact"/>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年度</w:t>
      </w:r>
      <w:r>
        <w:rPr>
          <w:rFonts w:hint="default" w:ascii="Times New Roman" w:hAnsi="Times New Roman" w:eastAsia="仿宋" w:cs="Times New Roman"/>
          <w:color w:val="auto"/>
          <w:sz w:val="32"/>
          <w:szCs w:val="32"/>
          <w:lang w:eastAsia="zh-CN"/>
        </w:rPr>
        <w:t>财政拨款</w:t>
      </w:r>
      <w:r>
        <w:rPr>
          <w:rFonts w:hint="default" w:ascii="Times New Roman" w:hAnsi="Times New Roman" w:eastAsia="仿宋" w:cs="Times New Roman"/>
          <w:color w:val="auto"/>
          <w:sz w:val="32"/>
          <w:szCs w:val="32"/>
        </w:rPr>
        <w:t>收、支总计</w:t>
      </w:r>
      <w:r>
        <w:rPr>
          <w:rFonts w:hint="default" w:ascii="Times New Roman" w:hAnsi="Times New Roman" w:eastAsia="仿宋" w:cs="Times New Roman"/>
          <w:color w:val="auto"/>
          <w:sz w:val="32"/>
          <w:szCs w:val="32"/>
          <w:lang w:val="en-US" w:eastAsia="zh-CN"/>
        </w:rPr>
        <w:t>818.47</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val="en-US" w:eastAsia="zh-CN"/>
        </w:rPr>
        <w:t>818.47</w:t>
      </w:r>
      <w:r>
        <w:rPr>
          <w:rFonts w:hint="default" w:ascii="Times New Roman" w:hAnsi="Times New Roman" w:eastAsia="仿宋" w:cs="Times New Roman"/>
          <w:color w:val="auto"/>
          <w:sz w:val="32"/>
          <w:szCs w:val="32"/>
        </w:rPr>
        <w:t>万元。与</w:t>
      </w:r>
      <w:r>
        <w:rPr>
          <w:rFonts w:hint="default" w:ascii="Times New Roman" w:hAnsi="Times New Roman" w:eastAsia="仿宋" w:cs="Times New Roman"/>
          <w:color w:val="auto"/>
          <w:sz w:val="32"/>
          <w:szCs w:val="32"/>
          <w:lang w:val="en-US" w:eastAsia="zh-CN"/>
        </w:rPr>
        <w:t>2020</w:t>
      </w:r>
      <w:r>
        <w:rPr>
          <w:rFonts w:hint="default" w:ascii="Times New Roman" w:hAnsi="Times New Roman" w:eastAsia="仿宋" w:cs="Times New Roman"/>
          <w:color w:val="auto"/>
          <w:sz w:val="32"/>
          <w:szCs w:val="32"/>
        </w:rPr>
        <w:t>年相比，收、支总计各增加</w:t>
      </w:r>
      <w:r>
        <w:rPr>
          <w:rFonts w:hint="default" w:ascii="Times New Roman" w:hAnsi="Times New Roman" w:eastAsia="仿宋" w:cs="Times New Roman"/>
          <w:color w:val="auto"/>
          <w:sz w:val="32"/>
          <w:szCs w:val="32"/>
          <w:lang w:val="en-US" w:eastAsia="zh-CN"/>
        </w:rPr>
        <w:t>101.04</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val="en-US" w:eastAsia="zh-CN"/>
        </w:rPr>
        <w:t>88.92</w:t>
      </w:r>
      <w:r>
        <w:rPr>
          <w:rFonts w:hint="default" w:ascii="Times New Roman" w:hAnsi="Times New Roman" w:eastAsia="仿宋" w:cs="Times New Roman"/>
          <w:color w:val="auto"/>
          <w:sz w:val="32"/>
          <w:szCs w:val="32"/>
        </w:rPr>
        <w:t>万元，各增加了</w:t>
      </w:r>
      <w:r>
        <w:rPr>
          <w:rFonts w:hint="default" w:ascii="Times New Roman" w:hAnsi="Times New Roman" w:eastAsia="仿宋" w:cs="Times New Roman"/>
          <w:color w:val="auto"/>
          <w:sz w:val="32"/>
          <w:szCs w:val="32"/>
          <w:lang w:val="en-US" w:eastAsia="zh-CN"/>
        </w:rPr>
        <w:t>14.08</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13.39</w:t>
      </w:r>
      <w:r>
        <w:rPr>
          <w:rFonts w:hint="default" w:ascii="Times New Roman" w:hAnsi="Times New Roman" w:eastAsia="仿宋" w:cs="Times New Roman"/>
          <w:color w:val="auto"/>
          <w:sz w:val="32"/>
          <w:szCs w:val="32"/>
        </w:rPr>
        <w:t>%。主要变动原因是</w:t>
      </w:r>
      <w:r>
        <w:rPr>
          <w:rFonts w:hint="default" w:ascii="Times New Roman" w:hAnsi="Times New Roman" w:eastAsia="仿宋" w:cs="Times New Roman"/>
          <w:color w:val="auto"/>
          <w:sz w:val="32"/>
          <w:szCs w:val="32"/>
          <w:lang w:eastAsia="zh-CN"/>
        </w:rPr>
        <w:t>人员增加使公用及人员经费增加、</w:t>
      </w:r>
      <w:r>
        <w:rPr>
          <w:rFonts w:hint="default" w:ascii="Times New Roman" w:hAnsi="Times New Roman" w:eastAsia="仿宋" w:cs="Times New Roman"/>
          <w:color w:val="auto"/>
          <w:sz w:val="32"/>
          <w:szCs w:val="32"/>
        </w:rPr>
        <w:t>市档案馆搬迁经费</w:t>
      </w:r>
      <w:r>
        <w:rPr>
          <w:rFonts w:hint="default" w:ascii="Times New Roman" w:hAnsi="Times New Roman" w:eastAsia="仿宋" w:cs="Times New Roman"/>
          <w:color w:val="auto"/>
          <w:sz w:val="32"/>
          <w:szCs w:val="32"/>
          <w:lang w:eastAsia="zh-CN"/>
        </w:rPr>
        <w:t>、李国超艺术档案征集及死亡抚恤经费增加</w:t>
      </w:r>
      <w:r>
        <w:rPr>
          <w:rFonts w:hint="default" w:ascii="Times New Roman" w:hAnsi="Times New Roman" w:eastAsia="仿宋" w:cs="Times New Roman"/>
          <w:color w:val="auto"/>
          <w:sz w:val="32"/>
          <w:szCs w:val="32"/>
        </w:rPr>
        <w:t>。</w:t>
      </w:r>
    </w:p>
    <w:p>
      <w:pPr>
        <w:spacing w:line="60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drawing>
          <wp:anchor distT="0" distB="0" distL="114300" distR="114300" simplePos="0" relativeHeight="251656192" behindDoc="0" locked="0" layoutInCell="1" allowOverlap="1">
            <wp:simplePos x="0" y="0"/>
            <wp:positionH relativeFrom="column">
              <wp:posOffset>638175</wp:posOffset>
            </wp:positionH>
            <wp:positionV relativeFrom="paragraph">
              <wp:posOffset>271780</wp:posOffset>
            </wp:positionV>
            <wp:extent cx="3267710" cy="1409700"/>
            <wp:effectExtent l="0" t="0" r="8890" b="0"/>
            <wp:wrapSquare wrapText="right"/>
            <wp:docPr id="4" name="图表 4"/>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（图4-1：财政拨款收入决算总计变动情况）（柱状图）</w: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drawing>
          <wp:anchor distT="0" distB="0" distL="114300" distR="114300" simplePos="0" relativeHeight="251658240" behindDoc="0" locked="0" layoutInCell="1" allowOverlap="1">
            <wp:simplePos x="0" y="0"/>
            <wp:positionH relativeFrom="column">
              <wp:posOffset>695325</wp:posOffset>
            </wp:positionH>
            <wp:positionV relativeFrom="paragraph">
              <wp:posOffset>14605</wp:posOffset>
            </wp:positionV>
            <wp:extent cx="3267710" cy="1409700"/>
            <wp:effectExtent l="0" t="0" r="8890" b="0"/>
            <wp:wrapSquare wrapText="right"/>
            <wp:docPr id="5" name="图表 5"/>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（图4-2：财政拨款支出决算总计变动情况）（柱状图）</w:t>
      </w:r>
    </w:p>
    <w:p>
      <w:pPr>
        <w:spacing w:line="600" w:lineRule="exact"/>
        <w:ind w:firstLine="640" w:firstLineChars="200"/>
        <w:rPr>
          <w:rFonts w:hint="default" w:ascii="Times New Roman" w:hAnsi="Times New Roman" w:eastAsia="仿宋" w:cs="Times New Roman"/>
          <w:b w:val="0"/>
          <w:bCs w:val="0"/>
          <w:color w:val="000000" w:themeColor="text1"/>
          <w:sz w:val="32"/>
          <w:szCs w:val="32"/>
          <w14:textFill>
            <w14:solidFill>
              <w14:schemeClr w14:val="tx1"/>
            </w14:solidFill>
          </w14:textFill>
        </w:rPr>
      </w:pPr>
    </w:p>
    <w:p>
      <w:pPr>
        <w:spacing w:line="600" w:lineRule="exact"/>
        <w:ind w:firstLine="640" w:firstLineChars="200"/>
        <w:outlineLvl w:val="1"/>
        <w:rPr>
          <w:rStyle w:val="26"/>
          <w:rFonts w:hint="default" w:ascii="Times New Roman" w:hAnsi="Times New Roman" w:eastAsia="黑体" w:cs="Times New Roman"/>
          <w:b w:val="0"/>
          <w:bCs w:val="0"/>
        </w:rPr>
      </w:pPr>
      <w:bookmarkStart w:id="34" w:name="_Toc15377209"/>
      <w:bookmarkStart w:id="35" w:name="_Toc51100209"/>
      <w:r>
        <w:rPr>
          <w:rFonts w:hint="default" w:ascii="Times New Roman" w:hAnsi="Times New Roman" w:eastAsia="黑体" w:cs="Times New Roman"/>
          <w:b w:val="0"/>
          <w:bCs w:val="0"/>
          <w:color w:val="000000"/>
          <w:sz w:val="32"/>
          <w:szCs w:val="32"/>
        </w:rPr>
        <w:t>五、一</w:t>
      </w:r>
      <w:r>
        <w:rPr>
          <w:rStyle w:val="26"/>
          <w:rFonts w:hint="default" w:ascii="Times New Roman" w:hAnsi="Times New Roman" w:eastAsia="黑体" w:cs="Times New Roman"/>
          <w:b w:val="0"/>
          <w:bCs w:val="0"/>
        </w:rPr>
        <w:t>般公共预算财政拨款支出决算情况说明</w:t>
      </w:r>
      <w:bookmarkEnd w:id="34"/>
      <w:bookmarkEnd w:id="35"/>
    </w:p>
    <w:p>
      <w:pPr>
        <w:spacing w:line="600" w:lineRule="exact"/>
        <w:ind w:firstLine="642" w:firstLineChars="200"/>
        <w:outlineLvl w:val="2"/>
        <w:rPr>
          <w:rFonts w:hint="default" w:ascii="Times New Roman" w:hAnsi="Times New Roman" w:eastAsia="仿宋" w:cs="Times New Roman"/>
          <w:b/>
          <w:color w:val="000000"/>
          <w:sz w:val="32"/>
          <w:szCs w:val="32"/>
        </w:rPr>
      </w:pPr>
      <w:bookmarkStart w:id="36" w:name="_Toc15377210"/>
      <w:r>
        <w:rPr>
          <w:rFonts w:hint="default" w:ascii="Times New Roman" w:hAnsi="Times New Roman" w:eastAsia="仿宋" w:cs="Times New Roman"/>
          <w:b/>
          <w:color w:val="000000"/>
          <w:sz w:val="32"/>
          <w:szCs w:val="32"/>
        </w:rPr>
        <w:t>（一）一般公共预算财政拨款支出决算总体情况</w:t>
      </w:r>
      <w:bookmarkEnd w:id="36"/>
    </w:p>
    <w:p>
      <w:pPr>
        <w:spacing w:line="600" w:lineRule="exact"/>
        <w:ind w:firstLine="640" w:firstLineChars="200"/>
        <w:jc w:val="lef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年一般公共预算财政拨款支出</w:t>
      </w:r>
      <w:r>
        <w:rPr>
          <w:rFonts w:hint="default" w:ascii="Times New Roman" w:hAnsi="Times New Roman" w:eastAsia="仿宋" w:cs="Times New Roman"/>
          <w:color w:val="auto"/>
          <w:sz w:val="32"/>
          <w:szCs w:val="32"/>
          <w:lang w:val="en-US" w:eastAsia="zh-CN"/>
        </w:rPr>
        <w:t>818.47</w:t>
      </w:r>
      <w:r>
        <w:rPr>
          <w:rFonts w:hint="default" w:ascii="Times New Roman" w:hAnsi="Times New Roman" w:eastAsia="仿宋" w:cs="Times New Roman"/>
          <w:color w:val="auto"/>
          <w:sz w:val="32"/>
          <w:szCs w:val="32"/>
        </w:rPr>
        <w:t>万元，占本年支出合计的</w:t>
      </w:r>
      <w:r>
        <w:rPr>
          <w:rFonts w:hint="default" w:ascii="Times New Roman" w:hAnsi="Times New Roman" w:eastAsia="仿宋" w:cs="Times New Roman"/>
          <w:color w:val="auto"/>
          <w:sz w:val="32"/>
          <w:szCs w:val="32"/>
          <w:lang w:val="en-US" w:eastAsia="zh-CN"/>
        </w:rPr>
        <w:t>98.93</w:t>
      </w:r>
      <w:r>
        <w:rPr>
          <w:rFonts w:hint="default" w:ascii="Times New Roman" w:hAnsi="Times New Roman" w:eastAsia="仿宋" w:cs="Times New Roman"/>
          <w:color w:val="auto"/>
          <w:sz w:val="32"/>
          <w:szCs w:val="32"/>
        </w:rPr>
        <w:t>%。与20</w:t>
      </w:r>
      <w:r>
        <w:rPr>
          <w:rFonts w:hint="default" w:ascii="Times New Roman" w:hAnsi="Times New Roman" w:eastAsia="仿宋" w:cs="Times New Roman"/>
          <w:color w:val="auto"/>
          <w:sz w:val="32"/>
          <w:szCs w:val="32"/>
          <w:lang w:val="en-US" w:eastAsia="zh-CN"/>
        </w:rPr>
        <w:t>20</w:t>
      </w:r>
      <w:r>
        <w:rPr>
          <w:rFonts w:hint="default" w:ascii="Times New Roman" w:hAnsi="Times New Roman" w:eastAsia="仿宋" w:cs="Times New Roman"/>
          <w:color w:val="auto"/>
          <w:sz w:val="32"/>
          <w:szCs w:val="32"/>
        </w:rPr>
        <w:t>年相比，一般公共预算财政拨款增加</w:t>
      </w:r>
      <w:r>
        <w:rPr>
          <w:rFonts w:hint="default" w:ascii="Times New Roman" w:hAnsi="Times New Roman" w:eastAsia="仿宋" w:cs="Times New Roman"/>
          <w:color w:val="auto"/>
          <w:sz w:val="32"/>
          <w:szCs w:val="32"/>
          <w:lang w:val="en-US" w:eastAsia="zh-CN"/>
        </w:rPr>
        <w:t>97.04</w:t>
      </w:r>
      <w:r>
        <w:rPr>
          <w:rFonts w:hint="default" w:ascii="Times New Roman" w:hAnsi="Times New Roman" w:eastAsia="仿宋" w:cs="Times New Roman"/>
          <w:color w:val="auto"/>
          <w:sz w:val="32"/>
          <w:szCs w:val="32"/>
        </w:rPr>
        <w:t>万元，增加</w:t>
      </w:r>
      <w:r>
        <w:rPr>
          <w:rFonts w:hint="default" w:ascii="Times New Roman" w:hAnsi="Times New Roman" w:eastAsia="仿宋" w:cs="Times New Roman"/>
          <w:color w:val="auto"/>
          <w:sz w:val="32"/>
          <w:szCs w:val="32"/>
          <w:lang w:val="en-US" w:eastAsia="zh-CN"/>
        </w:rPr>
        <w:t>13.52</w:t>
      </w:r>
      <w:r>
        <w:rPr>
          <w:rFonts w:hint="default" w:ascii="Times New Roman" w:hAnsi="Times New Roman" w:eastAsia="仿宋" w:cs="Times New Roman"/>
          <w:color w:val="auto"/>
          <w:sz w:val="32"/>
          <w:szCs w:val="32"/>
        </w:rPr>
        <w:t>%。主要变动原因是</w:t>
      </w:r>
      <w:r>
        <w:rPr>
          <w:rFonts w:hint="default" w:ascii="Times New Roman" w:hAnsi="Times New Roman" w:eastAsia="仿宋" w:cs="Times New Roman"/>
          <w:color w:val="auto"/>
          <w:sz w:val="32"/>
          <w:szCs w:val="32"/>
          <w:lang w:eastAsia="zh-CN"/>
        </w:rPr>
        <w:t>人员增加使公用及人员经费增加、</w:t>
      </w:r>
      <w:r>
        <w:rPr>
          <w:rFonts w:hint="default" w:ascii="Times New Roman" w:hAnsi="Times New Roman" w:eastAsia="仿宋" w:cs="Times New Roman"/>
          <w:color w:val="auto"/>
          <w:sz w:val="32"/>
          <w:szCs w:val="32"/>
        </w:rPr>
        <w:t>市档案馆搬迁经费</w:t>
      </w:r>
      <w:r>
        <w:rPr>
          <w:rFonts w:hint="default" w:ascii="Times New Roman" w:hAnsi="Times New Roman" w:eastAsia="仿宋" w:cs="Times New Roman"/>
          <w:color w:val="auto"/>
          <w:sz w:val="32"/>
          <w:szCs w:val="32"/>
          <w:lang w:eastAsia="zh-CN"/>
        </w:rPr>
        <w:t>、李国超艺术档案征集及死亡抚恤经费增加</w:t>
      </w:r>
      <w:r>
        <w:rPr>
          <w:rFonts w:hint="default" w:ascii="Times New Roman" w:hAnsi="Times New Roman" w:eastAsia="仿宋" w:cs="Times New Roman"/>
          <w:color w:val="auto"/>
          <w:sz w:val="32"/>
          <w:szCs w:val="32"/>
        </w:rPr>
        <w:t>。</w:t>
      </w:r>
    </w:p>
    <w:p>
      <w:pPr>
        <w:spacing w:line="600" w:lineRule="exact"/>
        <w:ind w:firstLine="640" w:firstLineChars="200"/>
        <w:jc w:val="left"/>
        <w:rPr>
          <w:rFonts w:hint="default" w:ascii="Times New Roman" w:hAnsi="Times New Roman" w:eastAsia="仿宋_GB2312"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_GB2312" w:cs="Times New Roman"/>
          <w:color w:val="000000"/>
          <w:sz w:val="32"/>
          <w:szCs w:val="32"/>
        </w:rPr>
        <w:drawing>
          <wp:anchor distT="0" distB="0" distL="114300" distR="114300" simplePos="0" relativeHeight="251660288" behindDoc="1" locked="0" layoutInCell="1" allowOverlap="1">
            <wp:simplePos x="0" y="0"/>
            <wp:positionH relativeFrom="column">
              <wp:posOffset>333375</wp:posOffset>
            </wp:positionH>
            <wp:positionV relativeFrom="paragraph">
              <wp:posOffset>114300</wp:posOffset>
            </wp:positionV>
            <wp:extent cx="4029075" cy="1971675"/>
            <wp:effectExtent l="0" t="0" r="0" b="0"/>
            <wp:wrapTight wrapText="bothSides">
              <wp:wrapPolygon>
                <wp:start x="3268" y="417"/>
                <wp:lineTo x="1532" y="1252"/>
                <wp:lineTo x="1532" y="4174"/>
                <wp:lineTo x="2757" y="4174"/>
                <wp:lineTo x="1634" y="5009"/>
                <wp:lineTo x="1430" y="5635"/>
                <wp:lineTo x="1430" y="13148"/>
                <wp:lineTo x="1838" y="14191"/>
                <wp:lineTo x="1430" y="14400"/>
                <wp:lineTo x="1532" y="17530"/>
                <wp:lineTo x="3881" y="17739"/>
                <wp:lineTo x="3677" y="18991"/>
                <wp:lineTo x="5106" y="19409"/>
                <wp:lineTo x="9396" y="19409"/>
                <wp:lineTo x="10928" y="17530"/>
                <wp:lineTo x="11234" y="15026"/>
                <wp:lineTo x="11234" y="14191"/>
                <wp:lineTo x="15115" y="14191"/>
                <wp:lineTo x="19200" y="12522"/>
                <wp:lineTo x="19302" y="8765"/>
                <wp:lineTo x="18281" y="8348"/>
                <wp:lineTo x="11234" y="7513"/>
                <wp:lineTo x="11132" y="417"/>
                <wp:lineTo x="3268" y="417"/>
              </wp:wrapPolygon>
            </wp:wrapTight>
            <wp:docPr id="6" name="图表 6"/>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（图5：一般公共预算财政拨款支出决算变动情况）（柱状图）</w:t>
      </w:r>
    </w:p>
    <w:p>
      <w:pPr>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2" w:firstLineChars="200"/>
        <w:outlineLvl w:val="2"/>
        <w:rPr>
          <w:rFonts w:hint="default" w:ascii="Times New Roman" w:hAnsi="Times New Roman" w:eastAsia="仿宋" w:cs="Times New Roman"/>
          <w:b/>
          <w:color w:val="000000"/>
          <w:sz w:val="32"/>
          <w:szCs w:val="32"/>
        </w:rPr>
      </w:pPr>
      <w:bookmarkStart w:id="37" w:name="_Toc15377211"/>
      <w:r>
        <w:rPr>
          <w:rFonts w:hint="default" w:ascii="Times New Roman" w:hAnsi="Times New Roman" w:eastAsia="仿宋" w:cs="Times New Roman"/>
          <w:b/>
          <w:color w:val="000000"/>
          <w:sz w:val="32"/>
          <w:szCs w:val="32"/>
        </w:rPr>
        <w:t>（二）一般公共预算财政拨款支出决算结构情况</w:t>
      </w:r>
      <w:bookmarkEnd w:id="37"/>
    </w:p>
    <w:p>
      <w:pPr>
        <w:spacing w:line="600" w:lineRule="exact"/>
        <w:ind w:firstLine="64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年一般公共预算财</w:t>
      </w:r>
      <w:r>
        <w:rPr>
          <w:rFonts w:hint="default" w:ascii="Times New Roman" w:hAnsi="Times New Roman" w:eastAsia="仿宋" w:cs="Times New Roman"/>
          <w:color w:val="000000" w:themeColor="text1"/>
          <w:sz w:val="32"/>
          <w:szCs w:val="32"/>
          <w14:textFill>
            <w14:solidFill>
              <w14:schemeClr w14:val="tx1"/>
            </w14:solidFill>
          </w14:textFill>
        </w:rPr>
        <w:t>政拨款支出</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818.43</w:t>
      </w:r>
      <w:r>
        <w:rPr>
          <w:rFonts w:hint="default" w:ascii="Times New Roman" w:hAnsi="Times New Roman" w:eastAsia="仿宋" w:cs="Times New Roman"/>
          <w:color w:val="000000" w:themeColor="text1"/>
          <w:sz w:val="32"/>
          <w:szCs w:val="32"/>
          <w14:textFill>
            <w14:solidFill>
              <w14:schemeClr w14:val="tx1"/>
            </w14:solidFill>
          </w14:textFill>
        </w:rPr>
        <w:t>万元，主要用于以下方面:</w:t>
      </w:r>
      <w:r>
        <w:rPr>
          <w:rFonts w:hint="default" w:ascii="Times New Roman" w:hAnsi="Times New Roman" w:eastAsia="仿宋" w:cs="Times New Roman"/>
          <w:b/>
          <w:color w:val="000000" w:themeColor="text1"/>
          <w:sz w:val="32"/>
          <w:szCs w:val="32"/>
          <w14:textFill>
            <w14:solidFill>
              <w14:schemeClr w14:val="tx1"/>
            </w14:solidFill>
          </w14:textFill>
        </w:rPr>
        <w:t>一般公共服务（类）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601.61</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73.51</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教育支出（类）</w:t>
      </w:r>
      <w:r>
        <w:rPr>
          <w:rFonts w:hint="default" w:ascii="Times New Roman" w:hAnsi="Times New Roman" w:eastAsia="仿宋" w:cs="Times New Roman"/>
          <w:color w:val="000000" w:themeColor="text1"/>
          <w:sz w:val="32"/>
          <w:szCs w:val="32"/>
          <w14:textFill>
            <w14:solidFill>
              <w14:schemeClr w14:val="tx1"/>
            </w14:solidFill>
          </w14:textFill>
        </w:rPr>
        <w:t>0万元，占0%；</w:t>
      </w:r>
      <w:r>
        <w:rPr>
          <w:rFonts w:hint="default" w:ascii="Times New Roman" w:hAnsi="Times New Roman" w:eastAsia="仿宋" w:cs="Times New Roman"/>
          <w:b/>
          <w:color w:val="000000" w:themeColor="text1"/>
          <w:sz w:val="32"/>
          <w:szCs w:val="32"/>
          <w14:textFill>
            <w14:solidFill>
              <w14:schemeClr w14:val="tx1"/>
            </w14:solidFill>
          </w14:textFill>
        </w:rPr>
        <w:t>科学技术（类）</w:t>
      </w:r>
      <w:r>
        <w:rPr>
          <w:rFonts w:hint="default" w:ascii="Times New Roman" w:hAnsi="Times New Roman" w:eastAsia="仿宋" w:cs="Times New Roman"/>
          <w:color w:val="000000" w:themeColor="text1"/>
          <w:sz w:val="32"/>
          <w:szCs w:val="32"/>
          <w14:textFill>
            <w14:solidFill>
              <w14:schemeClr w14:val="tx1"/>
            </w14:solidFill>
          </w14:textFill>
        </w:rPr>
        <w:t>支出0万元，占0%；</w:t>
      </w:r>
      <w:r>
        <w:rPr>
          <w:rFonts w:hint="default" w:ascii="Times New Roman" w:hAnsi="Times New Roman" w:eastAsia="仿宋" w:cs="Times New Roman"/>
          <w:b/>
          <w:color w:val="000000" w:themeColor="text1"/>
          <w:sz w:val="32"/>
          <w:szCs w:val="32"/>
          <w14:textFill>
            <w14:solidFill>
              <w14:schemeClr w14:val="tx1"/>
            </w14:solidFill>
          </w14:textFill>
        </w:rPr>
        <w:t>社会保障和就业（类）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162.27</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19.82</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医疗卫生</w:t>
      </w:r>
      <w:r>
        <w:rPr>
          <w:rFonts w:hint="default" w:ascii="Times New Roman" w:hAnsi="Times New Roman" w:eastAsia="仿宋" w:cs="Times New Roman"/>
          <w:color w:val="000000" w:themeColor="text1"/>
          <w:sz w:val="32"/>
          <w:szCs w:val="32"/>
          <w14:textFill>
            <w14:solidFill>
              <w14:schemeClr w14:val="tx1"/>
            </w14:solidFill>
          </w14:textFill>
        </w:rPr>
        <w:t>支出0万元，占0%；</w:t>
      </w:r>
      <w:r>
        <w:rPr>
          <w:rFonts w:hint="default" w:ascii="Times New Roman" w:hAnsi="Times New Roman" w:eastAsia="仿宋" w:cs="Times New Roman"/>
          <w:b/>
          <w:color w:val="000000" w:themeColor="text1"/>
          <w:sz w:val="32"/>
          <w:szCs w:val="32"/>
          <w14:textFill>
            <w14:solidFill>
              <w14:schemeClr w14:val="tx1"/>
            </w14:solidFill>
          </w14:textFill>
        </w:rPr>
        <w:t>住房保障</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54.59</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6.67</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2"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i/>
          <w:color w:val="404040"/>
          <w:sz w:val="32"/>
          <w:szCs w:val="32"/>
        </w:rPr>
        <w:drawing>
          <wp:anchor distT="0" distB="0" distL="114300" distR="114300" simplePos="0" relativeHeight="251662336" behindDoc="1" locked="0" layoutInCell="1" allowOverlap="1">
            <wp:simplePos x="0" y="0"/>
            <wp:positionH relativeFrom="column">
              <wp:posOffset>647700</wp:posOffset>
            </wp:positionH>
            <wp:positionV relativeFrom="paragraph">
              <wp:posOffset>209550</wp:posOffset>
            </wp:positionV>
            <wp:extent cx="3486150" cy="1828800"/>
            <wp:effectExtent l="0" t="0" r="0" b="0"/>
            <wp:wrapTight wrapText="bothSides">
              <wp:wrapPolygon>
                <wp:start x="15226" y="3150"/>
                <wp:lineTo x="14518" y="4050"/>
                <wp:lineTo x="14518" y="7200"/>
                <wp:lineTo x="10859" y="10800"/>
                <wp:lineTo x="10859" y="14400"/>
                <wp:lineTo x="14518" y="16200"/>
                <wp:lineTo x="21010" y="16200"/>
                <wp:lineTo x="21246" y="14625"/>
                <wp:lineTo x="19830" y="14400"/>
                <wp:lineTo x="10741" y="14400"/>
                <wp:lineTo x="20892" y="13275"/>
                <wp:lineTo x="20892" y="10800"/>
                <wp:lineTo x="10741" y="10800"/>
                <wp:lineTo x="16289" y="9450"/>
                <wp:lineTo x="19121" y="8325"/>
                <wp:lineTo x="18767" y="7200"/>
                <wp:lineTo x="19711" y="6300"/>
                <wp:lineTo x="20420" y="4275"/>
                <wp:lineTo x="20184" y="3150"/>
                <wp:lineTo x="15226" y="3150"/>
              </wp:wrapPolygon>
            </wp:wrapTight>
            <wp:docPr id="7" name="图表 7"/>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（图6：一般公共预算财政拨款支出决算结构）（饼状图）</w:t>
      </w: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2" w:firstLineChars="200"/>
        <w:outlineLvl w:val="2"/>
        <w:rPr>
          <w:rFonts w:hint="default" w:ascii="Times New Roman" w:hAnsi="Times New Roman" w:eastAsia="仿宋" w:cs="Times New Roman"/>
          <w:b/>
          <w:color w:val="auto"/>
          <w:sz w:val="32"/>
          <w:szCs w:val="32"/>
        </w:rPr>
      </w:pPr>
      <w:bookmarkStart w:id="38" w:name="_Toc15377212"/>
      <w:r>
        <w:rPr>
          <w:rFonts w:hint="default" w:ascii="Times New Roman" w:hAnsi="Times New Roman" w:eastAsia="仿宋" w:cs="Times New Roman"/>
          <w:b/>
          <w:color w:val="auto"/>
          <w:sz w:val="32"/>
          <w:szCs w:val="32"/>
        </w:rPr>
        <w:t>（三）一般公共预算财政拨款支出决算具体情况</w:t>
      </w:r>
      <w:bookmarkEnd w:id="38"/>
    </w:p>
    <w:p>
      <w:pPr>
        <w:spacing w:line="600" w:lineRule="exact"/>
        <w:ind w:firstLine="642" w:firstLineChars="200"/>
        <w:outlineLvl w:val="2"/>
        <w:rPr>
          <w:rFonts w:hint="default" w:ascii="Times New Roman" w:hAnsi="Times New Roman" w:eastAsia="仿宋" w:cs="Times New Roman"/>
          <w:color w:val="auto"/>
          <w:sz w:val="32"/>
          <w:szCs w:val="32"/>
        </w:rPr>
      </w:pPr>
      <w:bookmarkStart w:id="39" w:name="_Toc15378460"/>
      <w:bookmarkStart w:id="40" w:name="_Toc15377444"/>
      <w:bookmarkStart w:id="41" w:name="_Toc15377213"/>
      <w:r>
        <w:rPr>
          <w:rFonts w:hint="default" w:ascii="Times New Roman" w:hAnsi="Times New Roman" w:eastAsia="仿宋" w:cs="Times New Roman"/>
          <w:b/>
          <w:color w:val="auto"/>
          <w:sz w:val="32"/>
          <w:szCs w:val="32"/>
        </w:rPr>
        <w:t>202</w:t>
      </w:r>
      <w:r>
        <w:rPr>
          <w:rFonts w:hint="default" w:ascii="Times New Roman" w:hAnsi="Times New Roman" w:eastAsia="仿宋" w:cs="Times New Roman"/>
          <w:b/>
          <w:color w:val="auto"/>
          <w:sz w:val="32"/>
          <w:szCs w:val="32"/>
          <w:lang w:val="en-US" w:eastAsia="zh-CN"/>
        </w:rPr>
        <w:t>1</w:t>
      </w:r>
      <w:r>
        <w:rPr>
          <w:rFonts w:hint="default" w:ascii="Times New Roman" w:hAnsi="Times New Roman" w:eastAsia="仿宋" w:cs="Times New Roman"/>
          <w:b/>
          <w:color w:val="auto"/>
          <w:sz w:val="32"/>
          <w:szCs w:val="32"/>
        </w:rPr>
        <w:t>年一般公共预算支出决算数为</w:t>
      </w:r>
      <w:r>
        <w:rPr>
          <w:rFonts w:hint="default" w:ascii="Times New Roman" w:hAnsi="Times New Roman" w:eastAsia="仿宋" w:cs="Times New Roman"/>
          <w:b/>
          <w:color w:val="auto"/>
          <w:sz w:val="32"/>
          <w:szCs w:val="32"/>
          <w:lang w:val="en-US" w:eastAsia="zh-CN"/>
        </w:rPr>
        <w:t>818.47</w:t>
      </w:r>
      <w:r>
        <w:rPr>
          <w:rFonts w:hint="default" w:ascii="Times New Roman" w:hAnsi="Times New Roman" w:eastAsia="仿宋" w:cs="Times New Roman"/>
          <w:b/>
          <w:color w:val="auto"/>
          <w:sz w:val="32"/>
          <w:szCs w:val="32"/>
        </w:rPr>
        <w:t>万元</w:t>
      </w:r>
      <w:r>
        <w:rPr>
          <w:rFonts w:hint="default" w:ascii="Times New Roman" w:hAnsi="Times New Roman" w:eastAsia="仿宋" w:cs="Times New Roman"/>
          <w:color w:val="auto"/>
          <w:sz w:val="32"/>
          <w:szCs w:val="32"/>
        </w:rPr>
        <w:t>，</w:t>
      </w:r>
      <w:r>
        <w:rPr>
          <w:rStyle w:val="15"/>
          <w:rFonts w:hint="default" w:ascii="Times New Roman" w:hAnsi="Times New Roman" w:eastAsia="仿宋" w:cs="Times New Roman"/>
          <w:bCs/>
          <w:color w:val="auto"/>
          <w:sz w:val="32"/>
          <w:szCs w:val="32"/>
        </w:rPr>
        <w:t>完成预算100%。其中：</w:t>
      </w:r>
      <w:bookmarkEnd w:id="39"/>
      <w:bookmarkEnd w:id="40"/>
      <w:bookmarkEnd w:id="41"/>
    </w:p>
    <w:p>
      <w:pPr>
        <w:spacing w:line="600" w:lineRule="exact"/>
        <w:ind w:firstLine="642" w:firstLineChars="200"/>
        <w:rPr>
          <w:rStyle w:val="15"/>
          <w:rFonts w:hint="default" w:ascii="Times New Roman" w:hAnsi="Times New Roman" w:eastAsia="仿宋" w:cs="Times New Roman"/>
          <w:bCs/>
          <w:color w:val="auto"/>
          <w:sz w:val="32"/>
          <w:szCs w:val="32"/>
        </w:rPr>
      </w:pPr>
      <w:r>
        <w:rPr>
          <w:rStyle w:val="15"/>
          <w:rFonts w:hint="default" w:ascii="Times New Roman" w:hAnsi="Times New Roman" w:eastAsia="仿宋" w:cs="Times New Roman"/>
          <w:bCs/>
          <w:color w:val="auto"/>
          <w:sz w:val="32"/>
          <w:szCs w:val="32"/>
        </w:rPr>
        <w:t>1.一般公共服务：</w:t>
      </w:r>
    </w:p>
    <w:p>
      <w:pPr>
        <w:spacing w:line="600" w:lineRule="exact"/>
        <w:ind w:firstLine="642" w:firstLineChars="200"/>
        <w:rPr>
          <w:rStyle w:val="15"/>
          <w:rFonts w:hint="default" w:ascii="Times New Roman" w:hAnsi="Times New Roman" w:eastAsia="仿宋" w:cs="Times New Roman"/>
          <w:b w:val="0"/>
          <w:bCs/>
          <w:color w:val="auto"/>
          <w:sz w:val="32"/>
          <w:szCs w:val="32"/>
        </w:rPr>
      </w:pPr>
      <w:r>
        <w:rPr>
          <w:rStyle w:val="15"/>
          <w:rFonts w:hint="default" w:ascii="Times New Roman" w:hAnsi="Times New Roman" w:eastAsia="仿宋" w:cs="Times New Roman"/>
          <w:bCs/>
          <w:color w:val="auto"/>
          <w:sz w:val="32"/>
          <w:szCs w:val="32"/>
        </w:rPr>
        <w:t>（1）一般公共服务（类）档案事务（款）行政运行（项）:</w:t>
      </w:r>
      <w:r>
        <w:rPr>
          <w:rStyle w:val="15"/>
          <w:rFonts w:hint="default" w:ascii="Times New Roman" w:hAnsi="Times New Roman" w:eastAsia="仿宋" w:cs="Times New Roman"/>
          <w:b w:val="0"/>
          <w:bCs/>
          <w:color w:val="auto"/>
          <w:sz w:val="32"/>
          <w:szCs w:val="32"/>
        </w:rPr>
        <w:t xml:space="preserve"> 支出决算</w:t>
      </w:r>
      <w:r>
        <w:rPr>
          <w:rStyle w:val="15"/>
          <w:rFonts w:hint="default" w:ascii="Times New Roman" w:hAnsi="Times New Roman" w:eastAsia="仿宋" w:cs="Times New Roman"/>
          <w:b w:val="0"/>
          <w:bCs/>
          <w:color w:val="auto"/>
          <w:sz w:val="32"/>
          <w:szCs w:val="32"/>
          <w:lang w:val="en-US" w:eastAsia="zh-CN"/>
        </w:rPr>
        <w:t>517.13</w:t>
      </w:r>
      <w:r>
        <w:rPr>
          <w:rStyle w:val="15"/>
          <w:rFonts w:hint="default" w:ascii="Times New Roman" w:hAnsi="Times New Roman" w:eastAsia="仿宋" w:cs="Times New Roman"/>
          <w:b w:val="0"/>
          <w:bCs/>
          <w:color w:val="auto"/>
          <w:sz w:val="32"/>
          <w:szCs w:val="32"/>
        </w:rPr>
        <w:t>万元，完成预算100%，决算数等于预算数的主要原因无。</w:t>
      </w:r>
    </w:p>
    <w:p>
      <w:pPr>
        <w:spacing w:line="600" w:lineRule="exact"/>
        <w:ind w:firstLine="642" w:firstLineChars="200"/>
        <w:rPr>
          <w:rStyle w:val="15"/>
          <w:rFonts w:hint="default" w:ascii="Times New Roman" w:hAnsi="Times New Roman" w:eastAsia="仿宋" w:cs="Times New Roman"/>
          <w:b w:val="0"/>
          <w:bCs/>
          <w:color w:val="auto"/>
          <w:sz w:val="32"/>
          <w:szCs w:val="32"/>
        </w:rPr>
      </w:pPr>
      <w:r>
        <w:rPr>
          <w:rStyle w:val="15"/>
          <w:rFonts w:hint="default" w:ascii="Times New Roman" w:hAnsi="Times New Roman" w:eastAsia="仿宋" w:cs="Times New Roman"/>
          <w:bCs/>
          <w:color w:val="auto"/>
          <w:sz w:val="32"/>
          <w:szCs w:val="32"/>
        </w:rPr>
        <w:t>（2）一般公共服务（类）档案事务（款）一般行政管理事务（项）:</w:t>
      </w:r>
      <w:r>
        <w:rPr>
          <w:rStyle w:val="15"/>
          <w:rFonts w:hint="default" w:ascii="Times New Roman" w:hAnsi="Times New Roman" w:eastAsia="仿宋" w:cs="Times New Roman"/>
          <w:b w:val="0"/>
          <w:bCs/>
          <w:color w:val="auto"/>
          <w:sz w:val="32"/>
          <w:szCs w:val="32"/>
        </w:rPr>
        <w:t xml:space="preserve"> 支出决算为</w:t>
      </w:r>
      <w:r>
        <w:rPr>
          <w:rStyle w:val="15"/>
          <w:rFonts w:hint="default" w:ascii="Times New Roman" w:hAnsi="Times New Roman" w:eastAsia="仿宋" w:cs="Times New Roman"/>
          <w:b w:val="0"/>
          <w:bCs/>
          <w:color w:val="auto"/>
          <w:sz w:val="32"/>
          <w:szCs w:val="32"/>
          <w:lang w:val="en-US" w:eastAsia="zh-CN"/>
        </w:rPr>
        <w:t>4.68</w:t>
      </w:r>
      <w:r>
        <w:rPr>
          <w:rStyle w:val="15"/>
          <w:rFonts w:hint="default" w:ascii="Times New Roman" w:hAnsi="Times New Roman" w:eastAsia="仿宋" w:cs="Times New Roman"/>
          <w:b w:val="0"/>
          <w:bCs/>
          <w:color w:val="auto"/>
          <w:sz w:val="32"/>
          <w:szCs w:val="32"/>
        </w:rPr>
        <w:t>万元，完成预算100%，决算数等于预算数的主要原因无。</w:t>
      </w:r>
    </w:p>
    <w:p>
      <w:pPr>
        <w:spacing w:line="600" w:lineRule="exact"/>
        <w:ind w:firstLine="642" w:firstLineChars="200"/>
        <w:rPr>
          <w:rStyle w:val="15"/>
          <w:rFonts w:hint="default" w:ascii="Times New Roman" w:hAnsi="Times New Roman" w:eastAsia="仿宋" w:cs="Times New Roman"/>
          <w:b w:val="0"/>
          <w:bCs/>
          <w:color w:val="auto"/>
          <w:sz w:val="32"/>
          <w:szCs w:val="32"/>
        </w:rPr>
      </w:pPr>
      <w:r>
        <w:rPr>
          <w:rStyle w:val="15"/>
          <w:rFonts w:hint="default" w:ascii="Times New Roman" w:hAnsi="Times New Roman" w:eastAsia="仿宋" w:cs="Times New Roman"/>
          <w:bCs/>
          <w:color w:val="auto"/>
          <w:sz w:val="32"/>
          <w:szCs w:val="32"/>
        </w:rPr>
        <w:t>（3）一般公共服务（类）档案事务（款）档案馆（项）:</w:t>
      </w:r>
      <w:r>
        <w:rPr>
          <w:rStyle w:val="15"/>
          <w:rFonts w:hint="default" w:ascii="Times New Roman" w:hAnsi="Times New Roman" w:eastAsia="仿宋" w:cs="Times New Roman"/>
          <w:b w:val="0"/>
          <w:bCs/>
          <w:color w:val="auto"/>
          <w:sz w:val="32"/>
          <w:szCs w:val="32"/>
        </w:rPr>
        <w:t xml:space="preserve"> 支出决算为</w:t>
      </w:r>
      <w:r>
        <w:rPr>
          <w:rStyle w:val="15"/>
          <w:rFonts w:hint="default" w:ascii="Times New Roman" w:hAnsi="Times New Roman" w:eastAsia="仿宋" w:cs="Times New Roman"/>
          <w:b w:val="0"/>
          <w:bCs/>
          <w:color w:val="auto"/>
          <w:sz w:val="32"/>
          <w:szCs w:val="32"/>
          <w:lang w:val="en-US" w:eastAsia="zh-CN"/>
        </w:rPr>
        <w:t>0</w:t>
      </w:r>
      <w:r>
        <w:rPr>
          <w:rStyle w:val="15"/>
          <w:rFonts w:hint="default" w:ascii="Times New Roman" w:hAnsi="Times New Roman" w:eastAsia="仿宋" w:cs="Times New Roman"/>
          <w:b w:val="0"/>
          <w:bCs/>
          <w:color w:val="auto"/>
          <w:sz w:val="32"/>
          <w:szCs w:val="32"/>
        </w:rPr>
        <w:t>万元，完成预算</w:t>
      </w:r>
      <w:r>
        <w:rPr>
          <w:rStyle w:val="15"/>
          <w:rFonts w:hint="default" w:ascii="Times New Roman" w:hAnsi="Times New Roman" w:eastAsia="仿宋" w:cs="Times New Roman"/>
          <w:b w:val="0"/>
          <w:bCs/>
          <w:color w:val="auto"/>
          <w:sz w:val="32"/>
          <w:szCs w:val="32"/>
          <w:lang w:val="en-US" w:eastAsia="zh-CN"/>
        </w:rPr>
        <w:t>10</w:t>
      </w:r>
      <w:r>
        <w:rPr>
          <w:rStyle w:val="15"/>
          <w:rFonts w:hint="default" w:ascii="Times New Roman" w:hAnsi="Times New Roman" w:eastAsia="仿宋" w:cs="Times New Roman"/>
          <w:b w:val="0"/>
          <w:bCs/>
          <w:color w:val="auto"/>
          <w:sz w:val="32"/>
          <w:szCs w:val="32"/>
        </w:rPr>
        <w:t>0%，决算数等于预算数的主要原因无。</w:t>
      </w:r>
    </w:p>
    <w:p>
      <w:pPr>
        <w:spacing w:line="600" w:lineRule="exact"/>
        <w:ind w:firstLine="642" w:firstLineChars="200"/>
        <w:rPr>
          <w:rStyle w:val="15"/>
          <w:rFonts w:hint="default" w:ascii="Times New Roman" w:hAnsi="Times New Roman" w:eastAsia="仿宋" w:cs="Times New Roman"/>
          <w:b w:val="0"/>
          <w:bCs/>
          <w:color w:val="auto"/>
          <w:sz w:val="32"/>
          <w:szCs w:val="32"/>
        </w:rPr>
      </w:pPr>
      <w:r>
        <w:rPr>
          <w:rStyle w:val="15"/>
          <w:rFonts w:hint="default" w:ascii="Times New Roman" w:hAnsi="Times New Roman" w:eastAsia="仿宋" w:cs="Times New Roman"/>
          <w:bCs/>
          <w:color w:val="auto"/>
          <w:sz w:val="32"/>
          <w:szCs w:val="32"/>
        </w:rPr>
        <w:t>（4）一般公共服务（类）档案事务（款）其他档案事务支出（项）:</w:t>
      </w:r>
      <w:r>
        <w:rPr>
          <w:rStyle w:val="15"/>
          <w:rFonts w:hint="default" w:ascii="Times New Roman" w:hAnsi="Times New Roman" w:eastAsia="仿宋" w:cs="Times New Roman"/>
          <w:b w:val="0"/>
          <w:bCs/>
          <w:color w:val="auto"/>
          <w:sz w:val="32"/>
          <w:szCs w:val="32"/>
        </w:rPr>
        <w:t xml:space="preserve"> 支出决算为</w:t>
      </w:r>
      <w:r>
        <w:rPr>
          <w:rStyle w:val="15"/>
          <w:rFonts w:hint="default" w:ascii="Times New Roman" w:hAnsi="Times New Roman" w:eastAsia="仿宋" w:cs="Times New Roman"/>
          <w:b w:val="0"/>
          <w:bCs/>
          <w:color w:val="auto"/>
          <w:sz w:val="32"/>
          <w:szCs w:val="32"/>
          <w:lang w:val="en-US" w:eastAsia="zh-CN"/>
        </w:rPr>
        <w:t>77.34</w:t>
      </w:r>
      <w:r>
        <w:rPr>
          <w:rStyle w:val="15"/>
          <w:rFonts w:hint="default" w:ascii="Times New Roman" w:hAnsi="Times New Roman" w:eastAsia="仿宋" w:cs="Times New Roman"/>
          <w:b w:val="0"/>
          <w:bCs/>
          <w:color w:val="auto"/>
          <w:sz w:val="32"/>
          <w:szCs w:val="32"/>
        </w:rPr>
        <w:t>万元，完成预算100%，决算数等于预算数的主要原因无。</w:t>
      </w:r>
    </w:p>
    <w:p>
      <w:pPr>
        <w:spacing w:line="600" w:lineRule="exact"/>
        <w:ind w:firstLine="642" w:firstLineChars="200"/>
        <w:rPr>
          <w:rFonts w:hint="default" w:ascii="Times New Roman" w:hAnsi="Times New Roman" w:eastAsia="仿宋" w:cs="Times New Roman"/>
          <w:bCs/>
          <w:color w:val="auto"/>
          <w:sz w:val="32"/>
          <w:szCs w:val="32"/>
        </w:rPr>
      </w:pPr>
      <w:r>
        <w:rPr>
          <w:rStyle w:val="15"/>
          <w:rFonts w:hint="default" w:ascii="Times New Roman" w:hAnsi="Times New Roman" w:eastAsia="仿宋" w:cs="Times New Roman"/>
          <w:bCs/>
          <w:color w:val="auto"/>
          <w:sz w:val="32"/>
          <w:szCs w:val="32"/>
        </w:rPr>
        <w:t>（5）一般公共服务（类）组织事务（款）其他组织事务支出（项）:</w:t>
      </w:r>
      <w:r>
        <w:rPr>
          <w:rStyle w:val="15"/>
          <w:rFonts w:hint="default" w:ascii="Times New Roman" w:hAnsi="Times New Roman" w:eastAsia="仿宋" w:cs="Times New Roman"/>
          <w:b w:val="0"/>
          <w:bCs/>
          <w:color w:val="auto"/>
          <w:sz w:val="32"/>
          <w:szCs w:val="32"/>
        </w:rPr>
        <w:t xml:space="preserve"> 支出决算为</w:t>
      </w:r>
      <w:r>
        <w:rPr>
          <w:rStyle w:val="15"/>
          <w:rFonts w:hint="default" w:ascii="Times New Roman" w:hAnsi="Times New Roman" w:eastAsia="仿宋" w:cs="Times New Roman"/>
          <w:b w:val="0"/>
          <w:bCs/>
          <w:color w:val="auto"/>
          <w:sz w:val="32"/>
          <w:szCs w:val="32"/>
          <w:lang w:val="en-US" w:eastAsia="zh-CN"/>
        </w:rPr>
        <w:t>2.26</w:t>
      </w:r>
      <w:r>
        <w:rPr>
          <w:rStyle w:val="15"/>
          <w:rFonts w:hint="default" w:ascii="Times New Roman" w:hAnsi="Times New Roman" w:eastAsia="仿宋" w:cs="Times New Roman"/>
          <w:b w:val="0"/>
          <w:bCs/>
          <w:color w:val="auto"/>
          <w:sz w:val="32"/>
          <w:szCs w:val="32"/>
        </w:rPr>
        <w:t>万元，完成预算100%，决算数等于预算数的主要原因无。</w:t>
      </w:r>
    </w:p>
    <w:p>
      <w:pPr>
        <w:spacing w:line="600" w:lineRule="exact"/>
        <w:ind w:firstLine="642" w:firstLineChars="200"/>
        <w:rPr>
          <w:rFonts w:hint="default" w:ascii="Times New Roman" w:hAnsi="Times New Roman" w:eastAsia="仿宋" w:cs="Times New Roman"/>
          <w:b/>
          <w:color w:val="auto"/>
          <w:sz w:val="32"/>
          <w:szCs w:val="32"/>
        </w:rPr>
      </w:pPr>
      <w:r>
        <w:rPr>
          <w:rStyle w:val="15"/>
          <w:rFonts w:hint="default" w:ascii="Times New Roman" w:hAnsi="Times New Roman" w:eastAsia="仿宋" w:cs="Times New Roman"/>
          <w:bCs/>
          <w:color w:val="auto"/>
          <w:sz w:val="32"/>
          <w:szCs w:val="32"/>
        </w:rPr>
        <w:t>2.教育（类）（款）（项）:</w:t>
      </w:r>
      <w:r>
        <w:rPr>
          <w:rStyle w:val="15"/>
          <w:rFonts w:hint="default" w:ascii="Times New Roman" w:hAnsi="Times New Roman" w:eastAsia="仿宋" w:cs="Times New Roman"/>
          <w:b w:val="0"/>
          <w:bCs/>
          <w:color w:val="auto"/>
          <w:sz w:val="32"/>
          <w:szCs w:val="32"/>
        </w:rPr>
        <w:t xml:space="preserve"> 支出决算为0万元，完成预算0%，决算数小于/等于预算数的主要原因无。</w:t>
      </w:r>
    </w:p>
    <w:p>
      <w:pPr>
        <w:spacing w:line="600" w:lineRule="exact"/>
        <w:ind w:firstLine="642" w:firstLineChars="200"/>
        <w:rPr>
          <w:rFonts w:hint="default" w:ascii="Times New Roman" w:hAnsi="Times New Roman" w:eastAsia="仿宋" w:cs="Times New Roman"/>
          <w:b/>
          <w:color w:val="auto"/>
          <w:sz w:val="32"/>
          <w:szCs w:val="32"/>
        </w:rPr>
      </w:pPr>
      <w:r>
        <w:rPr>
          <w:rStyle w:val="15"/>
          <w:rFonts w:hint="default" w:ascii="Times New Roman" w:hAnsi="Times New Roman" w:eastAsia="仿宋" w:cs="Times New Roman"/>
          <w:bCs/>
          <w:color w:val="auto"/>
          <w:sz w:val="32"/>
          <w:szCs w:val="32"/>
        </w:rPr>
        <w:t>3.科学技术（类）（款）（项）:</w:t>
      </w:r>
      <w:r>
        <w:rPr>
          <w:rStyle w:val="15"/>
          <w:rFonts w:hint="default" w:ascii="Times New Roman" w:hAnsi="Times New Roman" w:eastAsia="仿宋" w:cs="Times New Roman"/>
          <w:b w:val="0"/>
          <w:bCs/>
          <w:color w:val="auto"/>
          <w:sz w:val="32"/>
          <w:szCs w:val="32"/>
        </w:rPr>
        <w:t xml:space="preserve"> 支出决算为0万元，完成预算0%，决算数小于/等于预算数的主要原因无。</w:t>
      </w:r>
    </w:p>
    <w:p>
      <w:pPr>
        <w:spacing w:line="600" w:lineRule="exact"/>
        <w:ind w:firstLine="642" w:firstLineChars="200"/>
        <w:rPr>
          <w:rStyle w:val="15"/>
          <w:rFonts w:hint="default" w:ascii="Times New Roman" w:hAnsi="Times New Roman" w:eastAsia="仿宋" w:cs="Times New Roman"/>
          <w:bCs/>
          <w:color w:val="auto"/>
          <w:sz w:val="32"/>
          <w:szCs w:val="32"/>
        </w:rPr>
      </w:pPr>
      <w:r>
        <w:rPr>
          <w:rStyle w:val="15"/>
          <w:rFonts w:hint="default" w:ascii="Times New Roman" w:hAnsi="Times New Roman" w:eastAsia="仿宋" w:cs="Times New Roman"/>
          <w:bCs/>
          <w:color w:val="auto"/>
          <w:sz w:val="32"/>
          <w:szCs w:val="32"/>
        </w:rPr>
        <w:t>4.社会保障和就业：</w:t>
      </w:r>
    </w:p>
    <w:p>
      <w:pPr>
        <w:spacing w:line="600" w:lineRule="exact"/>
        <w:ind w:firstLine="642" w:firstLineChars="200"/>
        <w:rPr>
          <w:rStyle w:val="15"/>
          <w:rFonts w:hint="default" w:ascii="Times New Roman" w:hAnsi="Times New Roman" w:eastAsia="仿宋" w:cs="Times New Roman"/>
          <w:b w:val="0"/>
          <w:bCs/>
          <w:color w:val="auto"/>
          <w:sz w:val="32"/>
          <w:szCs w:val="32"/>
        </w:rPr>
      </w:pPr>
      <w:r>
        <w:rPr>
          <w:rStyle w:val="15"/>
          <w:rFonts w:hint="default" w:ascii="Times New Roman" w:hAnsi="Times New Roman" w:eastAsia="仿宋" w:cs="Times New Roman"/>
          <w:bCs/>
          <w:color w:val="auto"/>
          <w:sz w:val="32"/>
          <w:szCs w:val="32"/>
        </w:rPr>
        <w:t>（1）社会保障和就业（类）行政事业单位离退休（款）行政单位离退休（项）:</w:t>
      </w:r>
      <w:r>
        <w:rPr>
          <w:rStyle w:val="15"/>
          <w:rFonts w:hint="default" w:ascii="Times New Roman" w:hAnsi="Times New Roman" w:eastAsia="仿宋" w:cs="Times New Roman"/>
          <w:b w:val="0"/>
          <w:bCs/>
          <w:color w:val="auto"/>
          <w:sz w:val="32"/>
          <w:szCs w:val="32"/>
        </w:rPr>
        <w:t xml:space="preserve"> 支出决算为</w:t>
      </w:r>
      <w:r>
        <w:rPr>
          <w:rStyle w:val="15"/>
          <w:rFonts w:hint="default" w:ascii="Times New Roman" w:hAnsi="Times New Roman" w:eastAsia="仿宋" w:cs="Times New Roman"/>
          <w:b w:val="0"/>
          <w:bCs/>
          <w:color w:val="auto"/>
          <w:sz w:val="32"/>
          <w:szCs w:val="32"/>
          <w:lang w:val="en-US" w:eastAsia="zh-CN"/>
        </w:rPr>
        <w:t>69.12</w:t>
      </w:r>
      <w:r>
        <w:rPr>
          <w:rStyle w:val="15"/>
          <w:rFonts w:hint="default" w:ascii="Times New Roman" w:hAnsi="Times New Roman" w:eastAsia="仿宋" w:cs="Times New Roman"/>
          <w:b w:val="0"/>
          <w:bCs/>
          <w:color w:val="auto"/>
          <w:sz w:val="32"/>
          <w:szCs w:val="32"/>
        </w:rPr>
        <w:t>万元，完成预算100%，决算数等于预算数的主要原因无。</w:t>
      </w:r>
    </w:p>
    <w:p>
      <w:pPr>
        <w:spacing w:line="600" w:lineRule="exact"/>
        <w:ind w:firstLine="642" w:firstLineChars="200"/>
        <w:rPr>
          <w:rStyle w:val="15"/>
          <w:rFonts w:hint="default" w:ascii="Times New Roman" w:hAnsi="Times New Roman" w:eastAsia="仿宋" w:cs="Times New Roman"/>
          <w:b w:val="0"/>
          <w:bCs/>
          <w:color w:val="auto"/>
          <w:sz w:val="32"/>
          <w:szCs w:val="32"/>
        </w:rPr>
      </w:pPr>
      <w:r>
        <w:rPr>
          <w:rStyle w:val="15"/>
          <w:rFonts w:hint="default" w:ascii="Times New Roman" w:hAnsi="Times New Roman" w:eastAsia="仿宋" w:cs="Times New Roman"/>
          <w:bCs/>
          <w:color w:val="auto"/>
          <w:sz w:val="32"/>
          <w:szCs w:val="32"/>
        </w:rPr>
        <w:t>（2）社会保障和就业（类）行政事业单位离退休（款）机关事业单位基本养老保险缴费支出（项）：</w:t>
      </w:r>
      <w:r>
        <w:rPr>
          <w:rStyle w:val="15"/>
          <w:rFonts w:hint="default" w:ascii="Times New Roman" w:hAnsi="Times New Roman" w:eastAsia="仿宋" w:cs="Times New Roman"/>
          <w:b w:val="0"/>
          <w:bCs/>
          <w:color w:val="auto"/>
          <w:sz w:val="32"/>
          <w:szCs w:val="32"/>
        </w:rPr>
        <w:t>支出决算为</w:t>
      </w:r>
      <w:r>
        <w:rPr>
          <w:rStyle w:val="15"/>
          <w:rFonts w:hint="default" w:ascii="Times New Roman" w:hAnsi="Times New Roman" w:eastAsia="仿宋" w:cs="Times New Roman"/>
          <w:b w:val="0"/>
          <w:bCs/>
          <w:color w:val="auto"/>
          <w:sz w:val="32"/>
          <w:szCs w:val="32"/>
          <w:lang w:val="en-US" w:eastAsia="zh-CN"/>
        </w:rPr>
        <w:t>37.38</w:t>
      </w:r>
      <w:r>
        <w:rPr>
          <w:rStyle w:val="15"/>
          <w:rFonts w:hint="default" w:ascii="Times New Roman" w:hAnsi="Times New Roman" w:eastAsia="仿宋" w:cs="Times New Roman"/>
          <w:b w:val="0"/>
          <w:bCs/>
          <w:color w:val="auto"/>
          <w:sz w:val="32"/>
          <w:szCs w:val="32"/>
        </w:rPr>
        <w:t>万元，完成预算100%，决算数等于预算数的主要原因无。</w:t>
      </w:r>
    </w:p>
    <w:p>
      <w:pPr>
        <w:spacing w:line="600" w:lineRule="exact"/>
        <w:ind w:firstLine="642" w:firstLineChars="200"/>
        <w:rPr>
          <w:rStyle w:val="15"/>
          <w:rFonts w:hint="default" w:ascii="Times New Roman" w:hAnsi="Times New Roman" w:eastAsia="仿宋" w:cs="Times New Roman"/>
          <w:b w:val="0"/>
          <w:bCs/>
          <w:color w:val="auto"/>
          <w:sz w:val="32"/>
          <w:szCs w:val="32"/>
        </w:rPr>
      </w:pPr>
      <w:r>
        <w:rPr>
          <w:rStyle w:val="15"/>
          <w:rFonts w:hint="default" w:ascii="Times New Roman" w:hAnsi="Times New Roman" w:eastAsia="仿宋" w:cs="Times New Roman"/>
          <w:bCs/>
          <w:color w:val="auto"/>
          <w:sz w:val="32"/>
          <w:szCs w:val="32"/>
        </w:rPr>
        <w:t>（3）社会保障和就业（类）抚恤（款）死亡抚恤：</w:t>
      </w:r>
      <w:r>
        <w:rPr>
          <w:rStyle w:val="15"/>
          <w:rFonts w:hint="default" w:ascii="Times New Roman" w:hAnsi="Times New Roman" w:eastAsia="仿宋" w:cs="Times New Roman"/>
          <w:b w:val="0"/>
          <w:bCs/>
          <w:color w:val="auto"/>
          <w:sz w:val="32"/>
          <w:szCs w:val="32"/>
        </w:rPr>
        <w:t>支出决算为</w:t>
      </w:r>
      <w:r>
        <w:rPr>
          <w:rStyle w:val="15"/>
          <w:rFonts w:hint="default" w:ascii="Times New Roman" w:hAnsi="Times New Roman" w:eastAsia="仿宋" w:cs="Times New Roman"/>
          <w:b w:val="0"/>
          <w:bCs/>
          <w:color w:val="auto"/>
          <w:sz w:val="32"/>
          <w:szCs w:val="32"/>
          <w:lang w:val="en-US" w:eastAsia="zh-CN"/>
        </w:rPr>
        <w:t>55.77</w:t>
      </w:r>
      <w:r>
        <w:rPr>
          <w:rStyle w:val="15"/>
          <w:rFonts w:hint="default" w:ascii="Times New Roman" w:hAnsi="Times New Roman" w:eastAsia="仿宋" w:cs="Times New Roman"/>
          <w:b w:val="0"/>
          <w:bCs/>
          <w:color w:val="auto"/>
          <w:sz w:val="32"/>
          <w:szCs w:val="32"/>
        </w:rPr>
        <w:t>万元，完成预算100%，决算数等于预算数的主要原因无。</w:t>
      </w:r>
    </w:p>
    <w:p>
      <w:pPr>
        <w:spacing w:line="600" w:lineRule="exact"/>
        <w:ind w:firstLine="642" w:firstLineChars="200"/>
        <w:rPr>
          <w:rFonts w:hint="default" w:ascii="Times New Roman" w:hAnsi="Times New Roman" w:eastAsia="仿宋" w:cs="Times New Roman"/>
          <w:bCs/>
          <w:color w:val="auto"/>
          <w:sz w:val="32"/>
          <w:szCs w:val="32"/>
        </w:rPr>
      </w:pPr>
      <w:r>
        <w:rPr>
          <w:rStyle w:val="15"/>
          <w:rFonts w:hint="default" w:ascii="Times New Roman" w:hAnsi="Times New Roman" w:eastAsia="仿宋" w:cs="Times New Roman"/>
          <w:bCs/>
          <w:color w:val="auto"/>
          <w:sz w:val="32"/>
          <w:szCs w:val="32"/>
        </w:rPr>
        <w:t>（4）社会保障和就业（类）社会福利（款）儿童福利（项）：</w:t>
      </w:r>
      <w:r>
        <w:rPr>
          <w:rStyle w:val="15"/>
          <w:rFonts w:hint="default" w:ascii="Times New Roman" w:hAnsi="Times New Roman" w:eastAsia="仿宋" w:cs="Times New Roman"/>
          <w:b w:val="0"/>
          <w:bCs/>
          <w:color w:val="auto"/>
          <w:sz w:val="32"/>
          <w:szCs w:val="32"/>
        </w:rPr>
        <w:t>支出决算为0万元，完成预算</w:t>
      </w:r>
      <w:r>
        <w:rPr>
          <w:rStyle w:val="15"/>
          <w:rFonts w:hint="default" w:ascii="Times New Roman" w:hAnsi="Times New Roman" w:eastAsia="仿宋" w:cs="Times New Roman"/>
          <w:b w:val="0"/>
          <w:bCs/>
          <w:color w:val="auto"/>
          <w:sz w:val="32"/>
          <w:szCs w:val="32"/>
          <w:lang w:val="en-US" w:eastAsia="zh-CN"/>
        </w:rPr>
        <w:t>10</w:t>
      </w:r>
      <w:r>
        <w:rPr>
          <w:rStyle w:val="15"/>
          <w:rFonts w:hint="default" w:ascii="Times New Roman" w:hAnsi="Times New Roman" w:eastAsia="仿宋" w:cs="Times New Roman"/>
          <w:b w:val="0"/>
          <w:bCs/>
          <w:color w:val="auto"/>
          <w:sz w:val="32"/>
          <w:szCs w:val="32"/>
        </w:rPr>
        <w:t>0%，决算数等于预算数的主要原因无。</w:t>
      </w:r>
    </w:p>
    <w:p>
      <w:pPr>
        <w:spacing w:line="600" w:lineRule="exact"/>
        <w:ind w:firstLine="642" w:firstLineChars="200"/>
        <w:rPr>
          <w:rFonts w:hint="default" w:ascii="Times New Roman" w:hAnsi="Times New Roman" w:eastAsia="仿宋" w:cs="Times New Roman"/>
          <w:b/>
          <w:color w:val="auto"/>
          <w:sz w:val="32"/>
          <w:szCs w:val="32"/>
        </w:rPr>
      </w:pPr>
      <w:r>
        <w:rPr>
          <w:rStyle w:val="15"/>
          <w:rFonts w:hint="default" w:ascii="Times New Roman" w:hAnsi="Times New Roman" w:eastAsia="仿宋" w:cs="Times New Roman"/>
          <w:bCs/>
          <w:color w:val="auto"/>
          <w:sz w:val="32"/>
          <w:szCs w:val="32"/>
        </w:rPr>
        <w:t>5.医疗卫生与计划生育（类）其他医疗卫生与计划生育支出（款）其他医疗卫生与计划生育支出（项）:</w:t>
      </w:r>
      <w:r>
        <w:rPr>
          <w:rStyle w:val="15"/>
          <w:rFonts w:hint="default" w:ascii="Times New Roman" w:hAnsi="Times New Roman" w:eastAsia="仿宋" w:cs="Times New Roman"/>
          <w:b w:val="0"/>
          <w:bCs/>
          <w:color w:val="auto"/>
          <w:sz w:val="32"/>
          <w:szCs w:val="32"/>
        </w:rPr>
        <w:t>支出决算为0万元，完成预算100%，决算数等于预算数的主要原因无。</w:t>
      </w:r>
    </w:p>
    <w:p>
      <w:pPr>
        <w:spacing w:line="600" w:lineRule="exact"/>
        <w:ind w:firstLine="642" w:firstLineChars="200"/>
        <w:rPr>
          <w:rFonts w:hint="default" w:ascii="Times New Roman" w:hAnsi="Times New Roman" w:eastAsia="仿宋" w:cs="Times New Roman"/>
          <w:b/>
          <w:color w:val="auto"/>
          <w:sz w:val="32"/>
          <w:szCs w:val="32"/>
        </w:rPr>
      </w:pPr>
      <w:r>
        <w:rPr>
          <w:rStyle w:val="15"/>
          <w:rFonts w:hint="default" w:ascii="Times New Roman" w:hAnsi="Times New Roman" w:eastAsia="仿宋" w:cs="Times New Roman"/>
          <w:bCs/>
          <w:color w:val="auto"/>
          <w:sz w:val="32"/>
          <w:szCs w:val="32"/>
        </w:rPr>
        <w:t>6.住房保障支出（类）住房改革支出（款住房公积金（项）:</w:t>
      </w:r>
      <w:r>
        <w:rPr>
          <w:rStyle w:val="15"/>
          <w:rFonts w:hint="default" w:ascii="Times New Roman" w:hAnsi="Times New Roman" w:eastAsia="仿宋" w:cs="Times New Roman"/>
          <w:b w:val="0"/>
          <w:bCs/>
          <w:color w:val="auto"/>
          <w:sz w:val="32"/>
          <w:szCs w:val="32"/>
        </w:rPr>
        <w:t xml:space="preserve"> 支出决算为</w:t>
      </w:r>
      <w:r>
        <w:rPr>
          <w:rStyle w:val="15"/>
          <w:rFonts w:hint="default" w:ascii="Times New Roman" w:hAnsi="Times New Roman" w:eastAsia="仿宋" w:cs="Times New Roman"/>
          <w:b w:val="0"/>
          <w:bCs/>
          <w:color w:val="auto"/>
          <w:sz w:val="32"/>
          <w:szCs w:val="32"/>
          <w:lang w:val="en-US" w:eastAsia="zh-CN"/>
        </w:rPr>
        <w:t>54.59</w:t>
      </w:r>
      <w:r>
        <w:rPr>
          <w:rStyle w:val="15"/>
          <w:rFonts w:hint="default" w:ascii="Times New Roman" w:hAnsi="Times New Roman" w:eastAsia="仿宋" w:cs="Times New Roman"/>
          <w:b w:val="0"/>
          <w:bCs/>
          <w:color w:val="auto"/>
          <w:sz w:val="32"/>
          <w:szCs w:val="32"/>
        </w:rPr>
        <w:t>万元，完成预算100%，决算数等于预算数的主要原因无。</w:t>
      </w:r>
    </w:p>
    <w:p>
      <w:pPr>
        <w:tabs>
          <w:tab w:val="right" w:pos="8306"/>
        </w:tabs>
        <w:spacing w:line="600" w:lineRule="exact"/>
        <w:ind w:firstLine="640"/>
        <w:outlineLvl w:val="1"/>
        <w:rPr>
          <w:rStyle w:val="26"/>
          <w:rFonts w:hint="default" w:ascii="Times New Roman" w:hAnsi="Times New Roman" w:eastAsia="黑体" w:cs="Times New Roman"/>
          <w:color w:val="auto"/>
        </w:rPr>
      </w:pPr>
      <w:bookmarkStart w:id="42" w:name="_Toc15377214"/>
      <w:bookmarkStart w:id="43" w:name="_Toc51100210"/>
      <w:r>
        <w:rPr>
          <w:rFonts w:hint="default" w:ascii="Times New Roman" w:hAnsi="Times New Roman" w:eastAsia="黑体" w:cs="Times New Roman"/>
          <w:color w:val="auto"/>
          <w:sz w:val="32"/>
          <w:szCs w:val="32"/>
        </w:rPr>
        <w:t>六</w:t>
      </w:r>
      <w:r>
        <w:rPr>
          <w:rFonts w:hint="default" w:ascii="Times New Roman" w:hAnsi="Times New Roman" w:eastAsia="黑体" w:cs="Times New Roman"/>
          <w:b/>
          <w:color w:val="auto"/>
          <w:sz w:val="32"/>
          <w:szCs w:val="32"/>
        </w:rPr>
        <w:t>、一</w:t>
      </w:r>
      <w:r>
        <w:rPr>
          <w:rStyle w:val="26"/>
          <w:rFonts w:hint="default" w:ascii="Times New Roman" w:hAnsi="Times New Roman" w:eastAsia="黑体" w:cs="Times New Roman"/>
          <w:b w:val="0"/>
          <w:color w:val="auto"/>
        </w:rPr>
        <w:t>般公共预算财政拨款基本支出决算情况说明</w:t>
      </w:r>
      <w:bookmarkEnd w:id="42"/>
      <w:bookmarkEnd w:id="43"/>
    </w:p>
    <w:p>
      <w:pPr>
        <w:spacing w:line="60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年一般公共预算财政拨款基本支出</w:t>
      </w:r>
      <w:r>
        <w:rPr>
          <w:rFonts w:hint="default" w:ascii="Times New Roman" w:hAnsi="Times New Roman" w:eastAsia="仿宋" w:cs="Times New Roman"/>
          <w:color w:val="auto"/>
          <w:sz w:val="32"/>
          <w:szCs w:val="32"/>
          <w:lang w:val="en-US" w:eastAsia="zh-CN"/>
        </w:rPr>
        <w:t>736.45</w:t>
      </w:r>
      <w:r>
        <w:rPr>
          <w:rFonts w:hint="default" w:ascii="Times New Roman" w:hAnsi="Times New Roman" w:eastAsia="仿宋" w:cs="Times New Roman"/>
          <w:color w:val="auto"/>
          <w:sz w:val="32"/>
          <w:szCs w:val="32"/>
        </w:rPr>
        <w:t>万元，其中：</w:t>
      </w:r>
    </w:p>
    <w:p>
      <w:pPr>
        <w:spacing w:line="60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人员经费</w:t>
      </w:r>
      <w:r>
        <w:rPr>
          <w:rFonts w:hint="default" w:ascii="Times New Roman" w:hAnsi="Times New Roman" w:eastAsia="仿宋" w:cs="Times New Roman"/>
          <w:color w:val="auto"/>
          <w:sz w:val="32"/>
          <w:szCs w:val="32"/>
          <w:lang w:val="en-US" w:eastAsia="zh-CN"/>
        </w:rPr>
        <w:t>674.86</w:t>
      </w:r>
      <w:r>
        <w:rPr>
          <w:rFonts w:hint="default" w:ascii="Times New Roman" w:hAnsi="Times New Roman" w:eastAsia="仿宋" w:cs="Times New Roman"/>
          <w:color w:val="auto"/>
          <w:sz w:val="32"/>
          <w:szCs w:val="32"/>
        </w:rPr>
        <w:t>万元，主要包括：基本工资</w:t>
      </w:r>
      <w:r>
        <w:rPr>
          <w:rFonts w:hint="default" w:ascii="Times New Roman" w:hAnsi="Times New Roman" w:eastAsia="仿宋" w:cs="Times New Roman"/>
          <w:color w:val="auto"/>
          <w:sz w:val="32"/>
          <w:szCs w:val="32"/>
          <w:lang w:val="en-US" w:eastAsia="zh-CN"/>
        </w:rPr>
        <w:t>118.55</w:t>
      </w:r>
      <w:r>
        <w:rPr>
          <w:rFonts w:hint="default" w:ascii="Times New Roman" w:hAnsi="Times New Roman" w:eastAsia="仿宋" w:cs="Times New Roman"/>
          <w:color w:val="auto"/>
          <w:sz w:val="32"/>
          <w:szCs w:val="32"/>
        </w:rPr>
        <w:t>万元、津贴补贴</w:t>
      </w:r>
      <w:r>
        <w:rPr>
          <w:rFonts w:hint="default" w:ascii="Times New Roman" w:hAnsi="Times New Roman" w:eastAsia="仿宋" w:cs="Times New Roman"/>
          <w:color w:val="auto"/>
          <w:sz w:val="32"/>
          <w:szCs w:val="32"/>
          <w:lang w:val="en-US" w:eastAsia="zh-CN"/>
        </w:rPr>
        <w:t>276.34</w:t>
      </w:r>
      <w:r>
        <w:rPr>
          <w:rFonts w:hint="default" w:ascii="Times New Roman" w:hAnsi="Times New Roman" w:eastAsia="仿宋" w:cs="Times New Roman"/>
          <w:color w:val="auto"/>
          <w:sz w:val="32"/>
          <w:szCs w:val="32"/>
        </w:rPr>
        <w:t>万元、奖金</w:t>
      </w:r>
      <w:r>
        <w:rPr>
          <w:rFonts w:hint="default" w:ascii="Times New Roman" w:hAnsi="Times New Roman" w:eastAsia="仿宋" w:cs="Times New Roman"/>
          <w:color w:val="auto"/>
          <w:sz w:val="32"/>
          <w:szCs w:val="32"/>
          <w:lang w:val="en-US" w:eastAsia="zh-CN"/>
        </w:rPr>
        <w:t>8.32</w:t>
      </w:r>
      <w:r>
        <w:rPr>
          <w:rFonts w:hint="default" w:ascii="Times New Roman" w:hAnsi="Times New Roman" w:eastAsia="仿宋" w:cs="Times New Roman"/>
          <w:color w:val="auto"/>
          <w:sz w:val="32"/>
          <w:szCs w:val="32"/>
        </w:rPr>
        <w:t>万元、伙食补助费0万元、绩效工资0万元、机关事业单位基本养老保险缴费</w:t>
      </w:r>
      <w:r>
        <w:rPr>
          <w:rFonts w:hint="default" w:ascii="Times New Roman" w:hAnsi="Times New Roman" w:eastAsia="仿宋" w:cs="Times New Roman"/>
          <w:color w:val="auto"/>
          <w:sz w:val="32"/>
          <w:szCs w:val="32"/>
          <w:lang w:val="en-US" w:eastAsia="zh-CN"/>
        </w:rPr>
        <w:t>37.38</w:t>
      </w:r>
      <w:r>
        <w:rPr>
          <w:rFonts w:hint="default" w:ascii="Times New Roman" w:hAnsi="Times New Roman" w:eastAsia="仿宋" w:cs="Times New Roman"/>
          <w:color w:val="auto"/>
          <w:sz w:val="32"/>
          <w:szCs w:val="32"/>
        </w:rPr>
        <w:t>万元、职业年金缴费0万元、职工基本医疗保险缴费</w:t>
      </w:r>
      <w:r>
        <w:rPr>
          <w:rFonts w:hint="default" w:ascii="Times New Roman" w:hAnsi="Times New Roman" w:eastAsia="仿宋" w:cs="Times New Roman"/>
          <w:color w:val="auto"/>
          <w:sz w:val="32"/>
          <w:szCs w:val="32"/>
          <w:lang w:val="en-US" w:eastAsia="zh-CN"/>
        </w:rPr>
        <w:t>25.94</w:t>
      </w:r>
      <w:r>
        <w:rPr>
          <w:rFonts w:hint="default" w:ascii="Times New Roman" w:hAnsi="Times New Roman" w:eastAsia="仿宋" w:cs="Times New Roman"/>
          <w:color w:val="auto"/>
          <w:sz w:val="32"/>
          <w:szCs w:val="32"/>
        </w:rPr>
        <w:t>万元、公务员医疗补助缴费</w:t>
      </w:r>
      <w:r>
        <w:rPr>
          <w:rFonts w:hint="default" w:ascii="Times New Roman" w:hAnsi="Times New Roman" w:eastAsia="仿宋" w:cs="Times New Roman"/>
          <w:color w:val="auto"/>
          <w:sz w:val="32"/>
          <w:szCs w:val="32"/>
          <w:lang w:val="en-US" w:eastAsia="zh-CN"/>
        </w:rPr>
        <w:t>3.51</w:t>
      </w:r>
      <w:r>
        <w:rPr>
          <w:rFonts w:hint="default" w:ascii="Times New Roman" w:hAnsi="Times New Roman" w:eastAsia="仿宋" w:cs="Times New Roman"/>
          <w:color w:val="auto"/>
          <w:sz w:val="32"/>
          <w:szCs w:val="32"/>
        </w:rPr>
        <w:t>万元、其他社会保障缴费</w:t>
      </w:r>
      <w:r>
        <w:rPr>
          <w:rFonts w:hint="default" w:ascii="Times New Roman" w:hAnsi="Times New Roman" w:eastAsia="仿宋" w:cs="Times New Roman"/>
          <w:color w:val="auto"/>
          <w:sz w:val="32"/>
          <w:szCs w:val="32"/>
          <w:lang w:val="en-US" w:eastAsia="zh-CN"/>
        </w:rPr>
        <w:t>0.06</w:t>
      </w:r>
      <w:r>
        <w:rPr>
          <w:rFonts w:hint="default" w:ascii="Times New Roman" w:hAnsi="Times New Roman" w:eastAsia="仿宋" w:cs="Times New Roman"/>
          <w:color w:val="auto"/>
          <w:sz w:val="32"/>
          <w:szCs w:val="32"/>
        </w:rPr>
        <w:t>万元、其他工资福利支出</w:t>
      </w:r>
      <w:r>
        <w:rPr>
          <w:rFonts w:hint="default" w:ascii="Times New Roman" w:hAnsi="Times New Roman" w:eastAsia="仿宋" w:cs="Times New Roman"/>
          <w:color w:val="auto"/>
          <w:sz w:val="32"/>
          <w:szCs w:val="32"/>
          <w:lang w:val="en-US" w:eastAsia="zh-CN"/>
        </w:rPr>
        <w:t>7.13</w:t>
      </w:r>
      <w:r>
        <w:rPr>
          <w:rFonts w:hint="default" w:ascii="Times New Roman" w:hAnsi="Times New Roman" w:eastAsia="仿宋" w:cs="Times New Roman"/>
          <w:color w:val="auto"/>
          <w:sz w:val="32"/>
          <w:szCs w:val="32"/>
        </w:rPr>
        <w:t>万元、离休费0万元、退休费</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万元、抚恤金</w:t>
      </w:r>
      <w:r>
        <w:rPr>
          <w:rFonts w:hint="default" w:ascii="Times New Roman" w:hAnsi="Times New Roman" w:eastAsia="仿宋" w:cs="Times New Roman"/>
          <w:color w:val="auto"/>
          <w:sz w:val="32"/>
          <w:szCs w:val="32"/>
          <w:lang w:val="en-US" w:eastAsia="zh-CN"/>
        </w:rPr>
        <w:t>55.77</w:t>
      </w:r>
      <w:r>
        <w:rPr>
          <w:rFonts w:hint="default" w:ascii="Times New Roman" w:hAnsi="Times New Roman" w:eastAsia="仿宋" w:cs="Times New Roman"/>
          <w:color w:val="auto"/>
          <w:sz w:val="32"/>
          <w:szCs w:val="32"/>
        </w:rPr>
        <w:t>万元、生活补助</w:t>
      </w:r>
      <w:r>
        <w:rPr>
          <w:rFonts w:hint="default" w:ascii="Times New Roman" w:hAnsi="Times New Roman" w:eastAsia="仿宋" w:cs="Times New Roman"/>
          <w:color w:val="auto"/>
          <w:sz w:val="32"/>
          <w:szCs w:val="32"/>
          <w:lang w:val="en-US" w:eastAsia="zh-CN"/>
        </w:rPr>
        <w:t>61.26</w:t>
      </w:r>
      <w:r>
        <w:rPr>
          <w:rFonts w:hint="default" w:ascii="Times New Roman" w:hAnsi="Times New Roman" w:eastAsia="仿宋" w:cs="Times New Roman"/>
          <w:color w:val="auto"/>
          <w:sz w:val="32"/>
          <w:szCs w:val="32"/>
        </w:rPr>
        <w:t>万元、医疗费补助0万元、奖励金0万元、住房公积金</w:t>
      </w:r>
      <w:r>
        <w:rPr>
          <w:rFonts w:hint="default" w:ascii="Times New Roman" w:hAnsi="Times New Roman" w:eastAsia="仿宋" w:cs="Times New Roman"/>
          <w:color w:val="auto"/>
          <w:sz w:val="32"/>
          <w:szCs w:val="32"/>
          <w:lang w:val="en-US" w:eastAsia="zh-CN"/>
        </w:rPr>
        <w:t>54.59</w:t>
      </w:r>
      <w:r>
        <w:rPr>
          <w:rFonts w:hint="default" w:ascii="Times New Roman" w:hAnsi="Times New Roman" w:eastAsia="仿宋" w:cs="Times New Roman"/>
          <w:color w:val="auto"/>
          <w:sz w:val="32"/>
          <w:szCs w:val="32"/>
        </w:rPr>
        <w:t>万元、其他对个人和家庭的补助支出</w:t>
      </w:r>
      <w:r>
        <w:rPr>
          <w:rFonts w:hint="default" w:ascii="Times New Roman" w:hAnsi="Times New Roman" w:eastAsia="仿宋" w:cs="Times New Roman"/>
          <w:color w:val="auto"/>
          <w:sz w:val="32"/>
          <w:szCs w:val="32"/>
          <w:lang w:val="en-US" w:eastAsia="zh-CN"/>
        </w:rPr>
        <w:t>26.01</w:t>
      </w:r>
      <w:r>
        <w:rPr>
          <w:rFonts w:hint="default" w:ascii="Times New Roman" w:hAnsi="Times New Roman" w:eastAsia="仿宋" w:cs="Times New Roman"/>
          <w:color w:val="auto"/>
          <w:sz w:val="32"/>
          <w:szCs w:val="32"/>
        </w:rPr>
        <w:t>万元等。</w:t>
      </w:r>
      <w:r>
        <w:rPr>
          <w:rFonts w:hint="default" w:ascii="Times New Roman" w:hAnsi="Times New Roman" w:eastAsia="仿宋" w:cs="Times New Roman"/>
          <w:color w:val="auto"/>
          <w:sz w:val="32"/>
          <w:szCs w:val="32"/>
        </w:rPr>
        <w:br w:type="textWrapping"/>
      </w:r>
      <w:r>
        <w:rPr>
          <w:rFonts w:hint="default" w:ascii="Times New Roman" w:hAnsi="Times New Roman" w:eastAsia="仿宋" w:cs="Times New Roman"/>
          <w:color w:val="auto"/>
          <w:sz w:val="32"/>
          <w:szCs w:val="32"/>
        </w:rPr>
        <w:t>　　日常公用经费</w:t>
      </w:r>
      <w:r>
        <w:rPr>
          <w:rFonts w:hint="default" w:ascii="Times New Roman" w:hAnsi="Times New Roman" w:eastAsia="仿宋" w:cs="Times New Roman"/>
          <w:color w:val="auto"/>
          <w:sz w:val="32"/>
          <w:szCs w:val="32"/>
          <w:lang w:val="en-US" w:eastAsia="zh-CN"/>
        </w:rPr>
        <w:t>61.59</w:t>
      </w:r>
      <w:r>
        <w:rPr>
          <w:rFonts w:hint="default" w:ascii="Times New Roman" w:hAnsi="Times New Roman" w:eastAsia="仿宋" w:cs="Times New Roman"/>
          <w:color w:val="auto"/>
          <w:sz w:val="32"/>
          <w:szCs w:val="32"/>
        </w:rPr>
        <w:t>万元，主要包括：办公费</w:t>
      </w:r>
      <w:r>
        <w:rPr>
          <w:rFonts w:hint="default" w:ascii="Times New Roman" w:hAnsi="Times New Roman" w:eastAsia="仿宋" w:cs="Times New Roman"/>
          <w:color w:val="auto"/>
          <w:sz w:val="32"/>
          <w:szCs w:val="32"/>
          <w:lang w:val="en-US" w:eastAsia="zh-CN"/>
        </w:rPr>
        <w:t>3.81</w:t>
      </w:r>
      <w:r>
        <w:rPr>
          <w:rFonts w:hint="default" w:ascii="Times New Roman" w:hAnsi="Times New Roman" w:eastAsia="仿宋" w:cs="Times New Roman"/>
          <w:color w:val="auto"/>
          <w:sz w:val="32"/>
          <w:szCs w:val="32"/>
        </w:rPr>
        <w:t>万元、印刷费</w:t>
      </w:r>
      <w:r>
        <w:rPr>
          <w:rFonts w:hint="default" w:ascii="Times New Roman" w:hAnsi="Times New Roman" w:eastAsia="仿宋" w:cs="Times New Roman"/>
          <w:color w:val="auto"/>
          <w:sz w:val="32"/>
          <w:szCs w:val="32"/>
          <w:lang w:val="en-US" w:eastAsia="zh-CN"/>
        </w:rPr>
        <w:t>0.68</w:t>
      </w:r>
      <w:r>
        <w:rPr>
          <w:rFonts w:hint="default" w:ascii="Times New Roman" w:hAnsi="Times New Roman" w:eastAsia="仿宋" w:cs="Times New Roman"/>
          <w:color w:val="auto"/>
          <w:sz w:val="32"/>
          <w:szCs w:val="32"/>
        </w:rPr>
        <w:t>万元、咨询费0万元、手续费</w:t>
      </w:r>
      <w:r>
        <w:rPr>
          <w:rFonts w:hint="default" w:ascii="Times New Roman" w:hAnsi="Times New Roman" w:eastAsia="仿宋" w:cs="Times New Roman"/>
          <w:color w:val="auto"/>
          <w:sz w:val="32"/>
          <w:szCs w:val="32"/>
          <w:lang w:val="en-US" w:eastAsia="zh-CN"/>
        </w:rPr>
        <w:t>0.3</w:t>
      </w:r>
      <w:r>
        <w:rPr>
          <w:rFonts w:hint="default" w:ascii="Times New Roman" w:hAnsi="Times New Roman" w:eastAsia="仿宋" w:cs="Times New Roman"/>
          <w:color w:val="auto"/>
          <w:sz w:val="32"/>
          <w:szCs w:val="32"/>
        </w:rPr>
        <w:t>万元、水费</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万元、电费</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万元、邮电费</w:t>
      </w:r>
      <w:r>
        <w:rPr>
          <w:rFonts w:hint="default" w:ascii="Times New Roman" w:hAnsi="Times New Roman" w:eastAsia="仿宋" w:cs="Times New Roman"/>
          <w:color w:val="auto"/>
          <w:sz w:val="32"/>
          <w:szCs w:val="32"/>
          <w:lang w:val="en-US" w:eastAsia="zh-CN"/>
        </w:rPr>
        <w:t>6.99</w:t>
      </w:r>
      <w:r>
        <w:rPr>
          <w:rFonts w:hint="default" w:ascii="Times New Roman" w:hAnsi="Times New Roman" w:eastAsia="仿宋" w:cs="Times New Roman"/>
          <w:color w:val="auto"/>
          <w:sz w:val="32"/>
          <w:szCs w:val="32"/>
        </w:rPr>
        <w:t>万元、取暖费0万元、物业管理费0万元、差旅费</w:t>
      </w:r>
      <w:r>
        <w:rPr>
          <w:rFonts w:hint="default" w:ascii="Times New Roman" w:hAnsi="Times New Roman" w:eastAsia="仿宋" w:cs="Times New Roman"/>
          <w:color w:val="auto"/>
          <w:sz w:val="32"/>
          <w:szCs w:val="32"/>
          <w:lang w:val="en-US" w:eastAsia="zh-CN"/>
        </w:rPr>
        <w:t>11..24</w:t>
      </w:r>
      <w:r>
        <w:rPr>
          <w:rFonts w:hint="default" w:ascii="Times New Roman" w:hAnsi="Times New Roman" w:eastAsia="仿宋" w:cs="Times New Roman"/>
          <w:color w:val="auto"/>
          <w:sz w:val="32"/>
          <w:szCs w:val="32"/>
        </w:rPr>
        <w:t>万元、因公出国（境）费用0万元、维修（护）费</w:t>
      </w:r>
      <w:r>
        <w:rPr>
          <w:rFonts w:hint="default" w:ascii="Times New Roman" w:hAnsi="Times New Roman" w:eastAsia="仿宋" w:cs="Times New Roman"/>
          <w:color w:val="auto"/>
          <w:sz w:val="32"/>
          <w:szCs w:val="32"/>
          <w:lang w:val="en-US" w:eastAsia="zh-CN"/>
        </w:rPr>
        <w:t>0.06</w:t>
      </w:r>
      <w:r>
        <w:rPr>
          <w:rFonts w:hint="default" w:ascii="Times New Roman" w:hAnsi="Times New Roman" w:eastAsia="仿宋" w:cs="Times New Roman"/>
          <w:color w:val="auto"/>
          <w:sz w:val="32"/>
          <w:szCs w:val="32"/>
        </w:rPr>
        <w:t>万元、租赁费0万元、会议费</w:t>
      </w:r>
      <w:r>
        <w:rPr>
          <w:rFonts w:hint="default" w:ascii="Times New Roman" w:hAnsi="Times New Roman" w:eastAsia="仿宋" w:cs="Times New Roman"/>
          <w:color w:val="auto"/>
          <w:sz w:val="32"/>
          <w:szCs w:val="32"/>
          <w:lang w:val="en-US" w:eastAsia="zh-CN"/>
        </w:rPr>
        <w:t>0.19</w:t>
      </w:r>
      <w:r>
        <w:rPr>
          <w:rFonts w:hint="default" w:ascii="Times New Roman" w:hAnsi="Times New Roman" w:eastAsia="仿宋" w:cs="Times New Roman"/>
          <w:color w:val="auto"/>
          <w:sz w:val="32"/>
          <w:szCs w:val="32"/>
        </w:rPr>
        <w:t>万元、培训费</w:t>
      </w:r>
      <w:r>
        <w:rPr>
          <w:rFonts w:hint="default" w:ascii="Times New Roman" w:hAnsi="Times New Roman" w:eastAsia="仿宋" w:cs="Times New Roman"/>
          <w:color w:val="auto"/>
          <w:sz w:val="32"/>
          <w:szCs w:val="32"/>
          <w:lang w:val="en-US" w:eastAsia="zh-CN"/>
        </w:rPr>
        <w:t>0.68</w:t>
      </w:r>
      <w:r>
        <w:rPr>
          <w:rFonts w:hint="default" w:ascii="Times New Roman" w:hAnsi="Times New Roman" w:eastAsia="仿宋" w:cs="Times New Roman"/>
          <w:color w:val="auto"/>
          <w:sz w:val="32"/>
          <w:szCs w:val="32"/>
        </w:rPr>
        <w:t>万元、公务接待费</w:t>
      </w:r>
      <w:r>
        <w:rPr>
          <w:rFonts w:hint="default" w:ascii="Times New Roman" w:hAnsi="Times New Roman" w:eastAsia="仿宋" w:cs="Times New Roman"/>
          <w:color w:val="auto"/>
          <w:sz w:val="32"/>
          <w:szCs w:val="32"/>
          <w:lang w:val="en-US" w:eastAsia="zh-CN"/>
        </w:rPr>
        <w:t>0.58</w:t>
      </w:r>
      <w:r>
        <w:rPr>
          <w:rFonts w:hint="default" w:ascii="Times New Roman" w:hAnsi="Times New Roman" w:eastAsia="仿宋" w:cs="Times New Roman"/>
          <w:color w:val="auto"/>
          <w:sz w:val="32"/>
          <w:szCs w:val="32"/>
        </w:rPr>
        <w:t>万元、劳务费</w:t>
      </w:r>
      <w:r>
        <w:rPr>
          <w:rFonts w:hint="default" w:ascii="Times New Roman" w:hAnsi="Times New Roman" w:eastAsia="仿宋" w:cs="Times New Roman"/>
          <w:color w:val="auto"/>
          <w:sz w:val="32"/>
          <w:szCs w:val="32"/>
          <w:lang w:val="en-US" w:eastAsia="zh-CN"/>
        </w:rPr>
        <w:t>1.93</w:t>
      </w:r>
      <w:r>
        <w:rPr>
          <w:rFonts w:hint="default" w:ascii="Times New Roman" w:hAnsi="Times New Roman" w:eastAsia="仿宋" w:cs="Times New Roman"/>
          <w:color w:val="auto"/>
          <w:sz w:val="32"/>
          <w:szCs w:val="32"/>
        </w:rPr>
        <w:t>万元、委托业务费</w:t>
      </w:r>
      <w:r>
        <w:rPr>
          <w:rFonts w:hint="default" w:ascii="Times New Roman" w:hAnsi="Times New Roman" w:eastAsia="仿宋" w:cs="Times New Roman"/>
          <w:color w:val="auto"/>
          <w:sz w:val="32"/>
          <w:szCs w:val="32"/>
          <w:lang w:val="en-US" w:eastAsia="zh-CN"/>
        </w:rPr>
        <w:t>0.15</w:t>
      </w:r>
      <w:r>
        <w:rPr>
          <w:rFonts w:hint="default" w:ascii="Times New Roman" w:hAnsi="Times New Roman" w:eastAsia="仿宋" w:cs="Times New Roman"/>
          <w:color w:val="auto"/>
          <w:sz w:val="32"/>
          <w:szCs w:val="32"/>
        </w:rPr>
        <w:t>万元、工会经费</w:t>
      </w:r>
      <w:r>
        <w:rPr>
          <w:rFonts w:hint="default" w:ascii="Times New Roman" w:hAnsi="Times New Roman" w:eastAsia="仿宋" w:cs="Times New Roman"/>
          <w:color w:val="auto"/>
          <w:sz w:val="32"/>
          <w:szCs w:val="32"/>
          <w:lang w:val="en-US" w:eastAsia="zh-CN"/>
        </w:rPr>
        <w:t>6.77</w:t>
      </w:r>
      <w:r>
        <w:rPr>
          <w:rFonts w:hint="default" w:ascii="Times New Roman" w:hAnsi="Times New Roman" w:eastAsia="仿宋" w:cs="Times New Roman"/>
          <w:color w:val="auto"/>
          <w:sz w:val="32"/>
          <w:szCs w:val="32"/>
        </w:rPr>
        <w:t>万元、福利费0</w:t>
      </w:r>
      <w:r>
        <w:rPr>
          <w:rFonts w:hint="default" w:ascii="Times New Roman" w:hAnsi="Times New Roman" w:eastAsia="仿宋" w:cs="Times New Roman"/>
          <w:color w:val="auto"/>
          <w:sz w:val="32"/>
          <w:szCs w:val="32"/>
          <w:lang w:val="en-US" w:eastAsia="zh-CN"/>
        </w:rPr>
        <w:t>.32</w:t>
      </w:r>
      <w:r>
        <w:rPr>
          <w:rFonts w:hint="default" w:ascii="Times New Roman" w:hAnsi="Times New Roman" w:eastAsia="仿宋" w:cs="Times New Roman"/>
          <w:color w:val="auto"/>
          <w:sz w:val="32"/>
          <w:szCs w:val="32"/>
        </w:rPr>
        <w:t>万元、公务用车运行维护费</w:t>
      </w:r>
      <w:r>
        <w:rPr>
          <w:rFonts w:hint="default" w:ascii="Times New Roman" w:hAnsi="Times New Roman" w:eastAsia="仿宋" w:cs="Times New Roman"/>
          <w:color w:val="auto"/>
          <w:sz w:val="32"/>
          <w:szCs w:val="32"/>
          <w:lang w:val="en-US" w:eastAsia="zh-CN"/>
        </w:rPr>
        <w:t>0.24</w:t>
      </w:r>
      <w:r>
        <w:rPr>
          <w:rFonts w:hint="default" w:ascii="Times New Roman" w:hAnsi="Times New Roman" w:eastAsia="仿宋" w:cs="Times New Roman"/>
          <w:color w:val="auto"/>
          <w:sz w:val="32"/>
          <w:szCs w:val="32"/>
        </w:rPr>
        <w:t>万元、其他交通费</w:t>
      </w:r>
      <w:r>
        <w:rPr>
          <w:rFonts w:hint="default" w:ascii="Times New Roman" w:hAnsi="Times New Roman" w:eastAsia="仿宋" w:cs="Times New Roman"/>
          <w:color w:val="auto"/>
          <w:sz w:val="32"/>
          <w:szCs w:val="32"/>
          <w:lang w:val="en-US" w:eastAsia="zh-CN"/>
        </w:rPr>
        <w:t>27.14</w:t>
      </w:r>
      <w:r>
        <w:rPr>
          <w:rFonts w:hint="default" w:ascii="Times New Roman" w:hAnsi="Times New Roman" w:eastAsia="仿宋" w:cs="Times New Roman"/>
          <w:color w:val="auto"/>
          <w:sz w:val="32"/>
          <w:szCs w:val="32"/>
        </w:rPr>
        <w:t>万元、税金及附加费用0万元、其他商品和服务支出</w:t>
      </w:r>
      <w:r>
        <w:rPr>
          <w:rFonts w:hint="default" w:ascii="Times New Roman" w:hAnsi="Times New Roman" w:eastAsia="仿宋" w:cs="Times New Roman"/>
          <w:color w:val="auto"/>
          <w:sz w:val="32"/>
          <w:szCs w:val="32"/>
          <w:lang w:val="en-US" w:eastAsia="zh-CN"/>
        </w:rPr>
        <w:t>0.63</w:t>
      </w:r>
      <w:r>
        <w:rPr>
          <w:rFonts w:hint="default" w:ascii="Times New Roman" w:hAnsi="Times New Roman" w:eastAsia="仿宋" w:cs="Times New Roman"/>
          <w:color w:val="auto"/>
          <w:sz w:val="32"/>
          <w:szCs w:val="32"/>
        </w:rPr>
        <w:t>万元、办公设备购置0万元、专用设备购置0万元、信息网络及软件购置更新0万元</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其他资本性支出</w:t>
      </w:r>
      <w:r>
        <w:rPr>
          <w:rFonts w:hint="default" w:ascii="Times New Roman" w:hAnsi="Times New Roman" w:eastAsia="仿宋" w:cs="Times New Roman"/>
          <w:color w:val="auto"/>
          <w:sz w:val="32"/>
          <w:szCs w:val="32"/>
          <w:lang w:val="en-US" w:eastAsia="zh-CN"/>
        </w:rPr>
        <w:t>0.15</w:t>
      </w:r>
      <w:r>
        <w:rPr>
          <w:rFonts w:hint="default" w:ascii="Times New Roman" w:hAnsi="Times New Roman" w:eastAsia="仿宋" w:cs="Times New Roman"/>
          <w:color w:val="auto"/>
          <w:sz w:val="32"/>
          <w:szCs w:val="32"/>
        </w:rPr>
        <w:t>万元。</w:t>
      </w:r>
    </w:p>
    <w:p>
      <w:pPr>
        <w:spacing w:line="600" w:lineRule="exact"/>
        <w:ind w:firstLine="640"/>
        <w:outlineLvl w:val="1"/>
        <w:rPr>
          <w:rStyle w:val="26"/>
          <w:rFonts w:hint="default" w:ascii="Times New Roman" w:hAnsi="Times New Roman" w:eastAsia="黑体" w:cs="Times New Roman"/>
          <w:b w:val="0"/>
        </w:rPr>
      </w:pPr>
      <w:bookmarkStart w:id="44" w:name="_Toc15377215"/>
      <w:bookmarkStart w:id="45" w:name="_Toc51100211"/>
      <w:r>
        <w:rPr>
          <w:rFonts w:hint="default" w:ascii="Times New Roman" w:hAnsi="Times New Roman" w:eastAsia="黑体" w:cs="Times New Roman"/>
          <w:sz w:val="32"/>
          <w:szCs w:val="32"/>
        </w:rPr>
        <w:t>七、</w:t>
      </w:r>
      <w:r>
        <w:rPr>
          <w:rStyle w:val="26"/>
          <w:rFonts w:hint="default" w:ascii="Times New Roman" w:hAnsi="Times New Roman" w:eastAsia="黑体" w:cs="Times New Roman"/>
        </w:rPr>
        <w:t>“</w:t>
      </w:r>
      <w:r>
        <w:rPr>
          <w:rStyle w:val="26"/>
          <w:rFonts w:hint="default" w:ascii="Times New Roman" w:hAnsi="Times New Roman" w:eastAsia="黑体" w:cs="Times New Roman"/>
          <w:b w:val="0"/>
        </w:rPr>
        <w:t>三公”经费财政拨款支出决算情况说明</w:t>
      </w:r>
      <w:bookmarkEnd w:id="44"/>
      <w:bookmarkEnd w:id="45"/>
    </w:p>
    <w:p>
      <w:pPr>
        <w:spacing w:line="600" w:lineRule="exact"/>
        <w:ind w:firstLine="640"/>
        <w:outlineLvl w:val="2"/>
        <w:rPr>
          <w:rFonts w:hint="default" w:ascii="Times New Roman" w:hAnsi="Times New Roman" w:eastAsia="仿宋" w:cs="Times New Roman"/>
          <w:b/>
          <w:sz w:val="32"/>
          <w:szCs w:val="32"/>
        </w:rPr>
      </w:pPr>
      <w:bookmarkStart w:id="46" w:name="_Toc15377216"/>
      <w:r>
        <w:rPr>
          <w:rFonts w:hint="default" w:ascii="Times New Roman" w:hAnsi="Times New Roman" w:eastAsia="仿宋" w:cs="Times New Roman"/>
          <w:b/>
          <w:sz w:val="32"/>
          <w:szCs w:val="32"/>
        </w:rPr>
        <w:t>（一）“三公”经费财政拨款支出决算总体情况说明</w:t>
      </w:r>
      <w:bookmarkEnd w:id="46"/>
    </w:p>
    <w:p>
      <w:pPr>
        <w:spacing w:line="576" w:lineRule="exact"/>
        <w:ind w:firstLine="660"/>
        <w:rPr>
          <w:rFonts w:hint="default" w:ascii="Times New Roman" w:hAnsi="Times New Roman" w:eastAsia="仿宋" w:cs="Times New Roman"/>
          <w:sz w:val="33"/>
          <w:szCs w:val="33"/>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年“三公”经费财政拨款支出决算为</w:t>
      </w:r>
      <w:r>
        <w:rPr>
          <w:rFonts w:hint="default" w:ascii="Times New Roman" w:hAnsi="Times New Roman" w:eastAsia="仿宋" w:cs="Times New Roman"/>
          <w:sz w:val="32"/>
          <w:szCs w:val="32"/>
          <w:lang w:val="en-US" w:eastAsia="zh-CN"/>
        </w:rPr>
        <w:t>0.97</w:t>
      </w:r>
      <w:r>
        <w:rPr>
          <w:rFonts w:hint="default" w:ascii="Times New Roman" w:hAnsi="Times New Roman" w:eastAsia="仿宋" w:cs="Times New Roman"/>
          <w:sz w:val="32"/>
          <w:szCs w:val="32"/>
        </w:rPr>
        <w:t>万元，完成预算</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%，决算数</w:t>
      </w:r>
      <w:r>
        <w:rPr>
          <w:rFonts w:hint="default" w:ascii="Times New Roman" w:hAnsi="Times New Roman" w:eastAsia="仿宋" w:cs="Times New Roman"/>
          <w:sz w:val="32"/>
          <w:szCs w:val="32"/>
          <w:lang w:eastAsia="zh-CN"/>
        </w:rPr>
        <w:t>等于</w:t>
      </w:r>
      <w:r>
        <w:rPr>
          <w:rFonts w:hint="default" w:ascii="Times New Roman" w:hAnsi="Times New Roman" w:eastAsia="仿宋" w:cs="Times New Roman"/>
          <w:sz w:val="32"/>
          <w:szCs w:val="32"/>
        </w:rPr>
        <w:t>预算数的主要原因</w:t>
      </w:r>
      <w:r>
        <w:rPr>
          <w:rFonts w:hint="default" w:ascii="Times New Roman" w:hAnsi="Times New Roman" w:eastAsia="仿宋" w:cs="Times New Roman"/>
          <w:sz w:val="32"/>
          <w:szCs w:val="32"/>
          <w:lang w:eastAsia="zh-CN"/>
        </w:rPr>
        <w:t>无</w:t>
      </w:r>
      <w:r>
        <w:rPr>
          <w:rFonts w:hint="default" w:ascii="Times New Roman" w:hAnsi="Times New Roman" w:eastAsia="仿宋" w:cs="Times New Roman"/>
          <w:sz w:val="32"/>
          <w:szCs w:val="32"/>
        </w:rPr>
        <w:t>。</w:t>
      </w:r>
    </w:p>
    <w:p>
      <w:pPr>
        <w:spacing w:line="600" w:lineRule="exact"/>
        <w:ind w:firstLine="640"/>
        <w:outlineLvl w:val="2"/>
        <w:rPr>
          <w:rFonts w:hint="default" w:ascii="Times New Roman" w:hAnsi="Times New Roman" w:eastAsia="仿宋" w:cs="Times New Roman"/>
          <w:b/>
          <w:sz w:val="32"/>
          <w:szCs w:val="32"/>
        </w:rPr>
      </w:pPr>
      <w:bookmarkStart w:id="47" w:name="_Toc15377217"/>
      <w:r>
        <w:rPr>
          <w:rFonts w:hint="default" w:ascii="Times New Roman" w:hAnsi="Times New Roman" w:eastAsia="仿宋" w:cs="Times New Roman"/>
          <w:b/>
          <w:sz w:val="32"/>
          <w:szCs w:val="32"/>
        </w:rPr>
        <w:t>（二）“三公”经费财政拨款支出决算具体情况说明</w:t>
      </w:r>
      <w:bookmarkEnd w:id="47"/>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年“三公”经费财政拨款支出决算中，因公出国（境）费支出决算0万元，占0%；公务用车购置及运行维护费支出决算</w:t>
      </w:r>
      <w:r>
        <w:rPr>
          <w:rFonts w:hint="default" w:ascii="Times New Roman" w:hAnsi="Times New Roman" w:eastAsia="仿宋" w:cs="Times New Roman"/>
          <w:sz w:val="32"/>
          <w:szCs w:val="32"/>
          <w:lang w:val="en-US" w:eastAsia="zh-CN"/>
        </w:rPr>
        <w:t>0.38</w:t>
      </w:r>
      <w:r>
        <w:rPr>
          <w:rFonts w:hint="default" w:ascii="Times New Roman" w:hAnsi="Times New Roman" w:eastAsia="仿宋" w:cs="Times New Roman"/>
          <w:sz w:val="32"/>
          <w:szCs w:val="32"/>
        </w:rPr>
        <w:t>万元，占</w:t>
      </w:r>
      <w:r>
        <w:rPr>
          <w:rFonts w:hint="default" w:ascii="Times New Roman" w:hAnsi="Times New Roman" w:eastAsia="仿宋" w:cs="Times New Roman"/>
          <w:sz w:val="32"/>
          <w:szCs w:val="32"/>
          <w:lang w:val="en-US" w:eastAsia="zh-CN"/>
        </w:rPr>
        <w:t>39.18</w:t>
      </w:r>
      <w:r>
        <w:rPr>
          <w:rFonts w:hint="default" w:ascii="Times New Roman" w:hAnsi="Times New Roman" w:eastAsia="仿宋" w:cs="Times New Roman"/>
          <w:sz w:val="32"/>
          <w:szCs w:val="32"/>
        </w:rPr>
        <w:t>%；公务接待费支出决算</w:t>
      </w:r>
      <w:r>
        <w:rPr>
          <w:rFonts w:hint="default" w:ascii="Times New Roman" w:hAnsi="Times New Roman" w:eastAsia="仿宋" w:cs="Times New Roman"/>
          <w:sz w:val="32"/>
          <w:szCs w:val="32"/>
          <w:lang w:val="en-US" w:eastAsia="zh-CN"/>
        </w:rPr>
        <w:t>0.58</w:t>
      </w:r>
      <w:r>
        <w:rPr>
          <w:rFonts w:hint="default" w:ascii="Times New Roman" w:hAnsi="Times New Roman" w:eastAsia="仿宋" w:cs="Times New Roman"/>
          <w:sz w:val="32"/>
          <w:szCs w:val="32"/>
        </w:rPr>
        <w:t>万元，占</w:t>
      </w:r>
      <w:r>
        <w:rPr>
          <w:rFonts w:hint="default" w:ascii="Times New Roman" w:hAnsi="Times New Roman" w:eastAsia="仿宋" w:cs="Times New Roman"/>
          <w:sz w:val="32"/>
          <w:szCs w:val="32"/>
          <w:lang w:val="en-US" w:eastAsia="zh-CN"/>
        </w:rPr>
        <w:t>59.79</w:t>
      </w:r>
      <w:r>
        <w:rPr>
          <w:rFonts w:hint="default" w:ascii="Times New Roman" w:hAnsi="Times New Roman" w:eastAsia="仿宋" w:cs="Times New Roman"/>
          <w:sz w:val="32"/>
          <w:szCs w:val="32"/>
        </w:rPr>
        <w:t>%。具体情况如下：</w:t>
      </w:r>
    </w:p>
    <w:p>
      <w:pPr>
        <w:spacing w:line="60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drawing>
          <wp:anchor distT="0" distB="0" distL="114300" distR="114300" simplePos="0" relativeHeight="251665408" behindDoc="0" locked="0" layoutInCell="1" allowOverlap="1">
            <wp:simplePos x="0" y="0"/>
            <wp:positionH relativeFrom="column">
              <wp:posOffset>287655</wp:posOffset>
            </wp:positionH>
            <wp:positionV relativeFrom="paragraph">
              <wp:posOffset>277495</wp:posOffset>
            </wp:positionV>
            <wp:extent cx="3616960" cy="1082675"/>
            <wp:effectExtent l="635" t="0" r="1905" b="3175"/>
            <wp:wrapTight wrapText="bothSides">
              <wp:wrapPolygon>
                <wp:start x="21592" y="0"/>
                <wp:lineTo x="0" y="0"/>
                <wp:lineTo x="0" y="21600"/>
                <wp:lineTo x="21592" y="21600"/>
                <wp:lineTo x="8" y="21600"/>
                <wp:lineTo x="21600" y="21600"/>
                <wp:lineTo x="21600" y="0"/>
                <wp:lineTo x="8" y="0"/>
                <wp:lineTo x="21592" y="0"/>
              </wp:wrapPolygon>
            </wp:wrapTight>
            <wp:docPr id="77" name="对象 4"/>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FF0000"/>
          <w:sz w:val="32"/>
          <w:szCs w:val="32"/>
        </w:rPr>
      </w:pPr>
    </w:p>
    <w:p>
      <w:pPr>
        <w:spacing w:line="600" w:lineRule="exact"/>
        <w:ind w:firstLine="640"/>
        <w:rPr>
          <w:rFonts w:hint="default" w:ascii="Times New Roman" w:hAnsi="Times New Roman" w:eastAsia="仿宋" w:cs="Times New Roman"/>
          <w:color w:val="FF0000"/>
          <w:sz w:val="32"/>
          <w:szCs w:val="32"/>
        </w:rPr>
      </w:pP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（图8：“三公”经费财政拨款支出结构）（饼状图）</w:t>
      </w:r>
    </w:p>
    <w:p>
      <w:pPr>
        <w:spacing w:line="600" w:lineRule="exact"/>
        <w:ind w:firstLine="640"/>
        <w:rPr>
          <w:rFonts w:hint="default" w:ascii="Times New Roman" w:hAnsi="Times New Roman" w:eastAsia="仿宋" w:cs="Times New Roman"/>
          <w:sz w:val="32"/>
          <w:szCs w:val="32"/>
        </w:rPr>
      </w:pPr>
    </w:p>
    <w:p>
      <w:pPr>
        <w:spacing w:line="600" w:lineRule="exact"/>
        <w:ind w:firstLine="64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1.因公出国（境）经费支出</w:t>
      </w:r>
      <w:r>
        <w:rPr>
          <w:rFonts w:hint="default" w:ascii="Times New Roman" w:hAnsi="Times New Roman" w:eastAsia="仿宋" w:cs="Times New Roman"/>
          <w:sz w:val="32"/>
          <w:szCs w:val="32"/>
        </w:rPr>
        <w:t>0万元，</w:t>
      </w:r>
      <w:r>
        <w:rPr>
          <w:rStyle w:val="15"/>
          <w:rFonts w:hint="default" w:ascii="Times New Roman" w:hAnsi="Times New Roman" w:eastAsia="仿宋" w:cs="Times New Roman"/>
          <w:b w:val="0"/>
          <w:bCs/>
          <w:sz w:val="32"/>
          <w:szCs w:val="32"/>
        </w:rPr>
        <w:t>完成预算0%。</w:t>
      </w:r>
      <w:r>
        <w:rPr>
          <w:rFonts w:hint="default" w:ascii="Times New Roman" w:hAnsi="Times New Roman" w:eastAsia="仿宋" w:cs="Times New Roman"/>
          <w:sz w:val="32"/>
          <w:szCs w:val="32"/>
        </w:rPr>
        <w:t>全年安排因公出国（境）团组0次，出国（境）0人。因公出国（境）支出决算比2017年增加/减少0万元，增长/下降%。主要原因无。</w:t>
      </w: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开支内容包括：无。</w:t>
      </w: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2.公务用车购置及运行维护费支出</w:t>
      </w:r>
      <w:r>
        <w:rPr>
          <w:rFonts w:hint="default" w:ascii="Times New Roman" w:hAnsi="Times New Roman" w:eastAsia="仿宋" w:cs="Times New Roman"/>
          <w:sz w:val="32"/>
          <w:szCs w:val="32"/>
          <w:lang w:val="en-US" w:eastAsia="zh-CN"/>
        </w:rPr>
        <w:t>0.58</w:t>
      </w:r>
      <w:r>
        <w:rPr>
          <w:rFonts w:hint="default" w:ascii="Times New Roman" w:hAnsi="Times New Roman" w:eastAsia="仿宋" w:cs="Times New Roman"/>
          <w:sz w:val="32"/>
          <w:szCs w:val="32"/>
        </w:rPr>
        <w:t>万元,完成预算</w:t>
      </w:r>
      <w:r>
        <w:rPr>
          <w:rFonts w:hint="default" w:ascii="Times New Roman" w:hAnsi="Times New Roman" w:eastAsia="仿宋" w:cs="Times New Roman"/>
          <w:sz w:val="32"/>
          <w:szCs w:val="32"/>
          <w:lang w:val="en-US" w:eastAsia="zh-CN"/>
        </w:rPr>
        <w:t>100</w:t>
      </w:r>
      <w:r>
        <w:rPr>
          <w:rFonts w:hint="default" w:ascii="Times New Roman" w:hAnsi="Times New Roman" w:eastAsia="仿宋" w:cs="Times New Roman"/>
          <w:sz w:val="32"/>
          <w:szCs w:val="32"/>
        </w:rPr>
        <w:t>%。公务用车购置及运行维护费支出决算比</w:t>
      </w:r>
      <w:r>
        <w:rPr>
          <w:rFonts w:hint="default" w:ascii="Times New Roman" w:hAnsi="Times New Roman" w:eastAsia="仿宋" w:cs="Times New Roman"/>
          <w:sz w:val="32"/>
          <w:szCs w:val="32"/>
          <w:lang w:val="en-US" w:eastAsia="zh-CN"/>
        </w:rPr>
        <w:t>2022</w:t>
      </w:r>
      <w:r>
        <w:rPr>
          <w:rFonts w:hint="default" w:ascii="Times New Roman" w:hAnsi="Times New Roman" w:eastAsia="仿宋" w:cs="Times New Roman"/>
          <w:sz w:val="32"/>
          <w:szCs w:val="32"/>
        </w:rPr>
        <w:t>年减少</w:t>
      </w:r>
      <w:r>
        <w:rPr>
          <w:rFonts w:hint="default" w:ascii="Times New Roman" w:hAnsi="Times New Roman" w:eastAsia="仿宋" w:cs="Times New Roman"/>
          <w:sz w:val="32"/>
          <w:szCs w:val="32"/>
          <w:lang w:val="en-US" w:eastAsia="zh-CN"/>
        </w:rPr>
        <w:t>0.96</w:t>
      </w:r>
      <w:r>
        <w:rPr>
          <w:rFonts w:hint="default" w:ascii="Times New Roman" w:hAnsi="Times New Roman" w:eastAsia="仿宋" w:cs="Times New Roman"/>
          <w:sz w:val="32"/>
          <w:szCs w:val="32"/>
        </w:rPr>
        <w:t>万元，下降</w:t>
      </w:r>
      <w:r>
        <w:rPr>
          <w:rFonts w:hint="default" w:ascii="Times New Roman" w:hAnsi="Times New Roman" w:eastAsia="仿宋" w:cs="Times New Roman"/>
          <w:sz w:val="32"/>
          <w:szCs w:val="32"/>
          <w:lang w:val="en-US" w:eastAsia="zh-CN"/>
        </w:rPr>
        <w:t>62.34</w:t>
      </w:r>
      <w:r>
        <w:rPr>
          <w:rFonts w:hint="default" w:ascii="Times New Roman" w:hAnsi="Times New Roman" w:eastAsia="仿宋" w:cs="Times New Roman"/>
          <w:sz w:val="32"/>
          <w:szCs w:val="32"/>
        </w:rPr>
        <w:t>%。主要原因是</w:t>
      </w:r>
      <w:r>
        <w:rPr>
          <w:rFonts w:hint="default" w:ascii="Times New Roman" w:hAnsi="Times New Roman" w:eastAsia="仿宋" w:cs="Times New Roman"/>
          <w:sz w:val="32"/>
          <w:szCs w:val="32"/>
          <w:lang w:eastAsia="zh-CN"/>
        </w:rPr>
        <w:t>疫情影响，公务外出次数及距离下降且公车全年未有油卡充值支出</w:t>
      </w:r>
      <w:r>
        <w:rPr>
          <w:rFonts w:hint="default" w:ascii="Times New Roman" w:hAnsi="Times New Roman" w:eastAsia="仿宋" w:cs="Times New Roman"/>
          <w:sz w:val="32"/>
          <w:szCs w:val="32"/>
        </w:rPr>
        <w:t>。</w:t>
      </w:r>
    </w:p>
    <w:p>
      <w:pPr>
        <w:spacing w:line="600" w:lineRule="exact"/>
        <w:ind w:firstLine="640" w:firstLineChars="200"/>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其中：</w:t>
      </w:r>
      <w:r>
        <w:rPr>
          <w:rFonts w:hint="default" w:ascii="Times New Roman" w:hAnsi="Times New Roman" w:eastAsia="仿宋" w:cs="Times New Roman"/>
          <w:b/>
          <w:sz w:val="32"/>
          <w:szCs w:val="32"/>
        </w:rPr>
        <w:t>公务用车购置支出</w:t>
      </w:r>
      <w:r>
        <w:rPr>
          <w:rFonts w:hint="default" w:ascii="Times New Roman" w:hAnsi="Times New Roman" w:eastAsia="仿宋" w:cs="Times New Roman"/>
          <w:sz w:val="32"/>
          <w:szCs w:val="32"/>
        </w:rPr>
        <w:t>0万元。全年按规定更新购置公务用车0辆，其中：轿车0辆、金额0万元，越野车0辆、金额0万元，载客汽车0辆、金额0万元。截至202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年12月底，单位共有公务用车1辆，其中：轿车1辆、越野车0辆、载客汽车0辆。</w:t>
      </w:r>
    </w:p>
    <w:p>
      <w:pPr>
        <w:spacing w:line="60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b/>
          <w:sz w:val="32"/>
          <w:szCs w:val="32"/>
        </w:rPr>
        <w:t>公务用车运行维护费支出</w:t>
      </w:r>
      <w:r>
        <w:rPr>
          <w:rFonts w:hint="eastAsia" w:eastAsia="仿宋" w:cs="Times New Roman"/>
          <w:color w:val="auto"/>
          <w:sz w:val="32"/>
          <w:szCs w:val="32"/>
          <w:lang w:val="en-US" w:eastAsia="zh-CN"/>
        </w:rPr>
        <w:t>0.38</w:t>
      </w:r>
      <w:r>
        <w:rPr>
          <w:rFonts w:hint="default" w:ascii="Times New Roman" w:hAnsi="Times New Roman" w:eastAsia="仿宋" w:cs="Times New Roman"/>
          <w:color w:val="auto"/>
          <w:sz w:val="32"/>
          <w:szCs w:val="32"/>
        </w:rPr>
        <w:t>万元。主要用于档案征集、精准扶贫及日常公务用车等所需的公务用车燃料费、维修费、过路过桥费、保险费等支出。</w:t>
      </w:r>
    </w:p>
    <w:p>
      <w:pPr>
        <w:spacing w:line="576" w:lineRule="exact"/>
        <w:ind w:firstLine="660"/>
        <w:rPr>
          <w:rFonts w:hint="default" w:ascii="Times New Roman" w:hAnsi="Times New Roman" w:eastAsia="仿宋" w:cs="Times New Roman"/>
          <w:color w:val="auto"/>
          <w:sz w:val="32"/>
          <w:szCs w:val="32"/>
        </w:rPr>
      </w:pPr>
      <w:r>
        <w:rPr>
          <w:rFonts w:hint="default" w:ascii="Times New Roman" w:hAnsi="Times New Roman" w:eastAsia="仿宋" w:cs="Times New Roman"/>
          <w:b/>
          <w:color w:val="auto"/>
          <w:sz w:val="32"/>
          <w:szCs w:val="32"/>
        </w:rPr>
        <w:t>3.公务接待费支出</w:t>
      </w:r>
      <w:r>
        <w:rPr>
          <w:rFonts w:hint="default" w:ascii="Times New Roman" w:hAnsi="Times New Roman" w:eastAsia="仿宋" w:cs="Times New Roman"/>
          <w:color w:val="auto"/>
          <w:sz w:val="32"/>
          <w:szCs w:val="32"/>
          <w:lang w:val="en-US" w:eastAsia="zh-CN"/>
        </w:rPr>
        <w:t>0.</w:t>
      </w:r>
      <w:r>
        <w:rPr>
          <w:rFonts w:hint="eastAsia" w:eastAsia="仿宋" w:cs="Times New Roman"/>
          <w:color w:val="auto"/>
          <w:sz w:val="32"/>
          <w:szCs w:val="32"/>
          <w:lang w:val="en-US" w:eastAsia="zh-CN"/>
        </w:rPr>
        <w:t>58</w:t>
      </w:r>
      <w:r>
        <w:rPr>
          <w:rFonts w:hint="default" w:ascii="Times New Roman" w:hAnsi="Times New Roman" w:eastAsia="仿宋" w:cs="Times New Roman"/>
          <w:color w:val="auto"/>
          <w:sz w:val="32"/>
          <w:szCs w:val="32"/>
        </w:rPr>
        <w:t>万元，</w:t>
      </w:r>
      <w:r>
        <w:rPr>
          <w:rStyle w:val="15"/>
          <w:rFonts w:hint="default" w:ascii="Times New Roman" w:hAnsi="Times New Roman" w:eastAsia="仿宋" w:cs="Times New Roman"/>
          <w:b w:val="0"/>
          <w:bCs/>
          <w:color w:val="auto"/>
          <w:sz w:val="32"/>
          <w:szCs w:val="32"/>
        </w:rPr>
        <w:t>完成预算</w:t>
      </w:r>
      <w:r>
        <w:rPr>
          <w:rStyle w:val="15"/>
          <w:rFonts w:hint="default" w:ascii="Times New Roman" w:hAnsi="Times New Roman" w:eastAsia="仿宋" w:cs="Times New Roman"/>
          <w:b w:val="0"/>
          <w:bCs/>
          <w:color w:val="auto"/>
          <w:sz w:val="32"/>
          <w:szCs w:val="32"/>
          <w:lang w:val="en-US" w:eastAsia="zh-CN"/>
        </w:rPr>
        <w:t>100</w:t>
      </w:r>
      <w:r>
        <w:rPr>
          <w:rStyle w:val="15"/>
          <w:rFonts w:hint="default" w:ascii="Times New Roman" w:hAnsi="Times New Roman" w:eastAsia="仿宋" w:cs="Times New Roman"/>
          <w:b w:val="0"/>
          <w:bCs/>
          <w:color w:val="auto"/>
          <w:sz w:val="32"/>
          <w:szCs w:val="32"/>
        </w:rPr>
        <w:t>%。</w:t>
      </w:r>
      <w:r>
        <w:rPr>
          <w:rFonts w:hint="default" w:ascii="Times New Roman" w:hAnsi="Times New Roman" w:eastAsia="仿宋" w:cs="Times New Roman"/>
          <w:color w:val="auto"/>
          <w:sz w:val="32"/>
          <w:szCs w:val="32"/>
        </w:rPr>
        <w:t>公务接待费支出决算比</w:t>
      </w:r>
      <w:r>
        <w:rPr>
          <w:rFonts w:hint="default" w:ascii="Times New Roman" w:hAnsi="Times New Roman" w:eastAsia="仿宋" w:cs="Times New Roman"/>
          <w:color w:val="auto"/>
          <w:sz w:val="32"/>
          <w:szCs w:val="32"/>
          <w:lang w:val="en-US" w:eastAsia="zh-CN"/>
        </w:rPr>
        <w:t>2020</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lang w:eastAsia="zh-CN"/>
        </w:rPr>
        <w:t>减少</w:t>
      </w:r>
      <w:r>
        <w:rPr>
          <w:rFonts w:hint="default" w:ascii="Times New Roman" w:hAnsi="Times New Roman" w:eastAsia="仿宋" w:cs="Times New Roman"/>
          <w:color w:val="auto"/>
          <w:sz w:val="32"/>
          <w:szCs w:val="32"/>
          <w:lang w:val="en-US" w:eastAsia="zh-CN"/>
        </w:rPr>
        <w:t>0.94</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eastAsia="zh-CN"/>
        </w:rPr>
        <w:t>下降</w:t>
      </w:r>
      <w:r>
        <w:rPr>
          <w:rFonts w:hint="default" w:ascii="Times New Roman" w:hAnsi="Times New Roman" w:eastAsia="仿宋" w:cs="Times New Roman"/>
          <w:color w:val="auto"/>
          <w:sz w:val="32"/>
          <w:szCs w:val="32"/>
        </w:rPr>
        <w:t>了</w:t>
      </w:r>
      <w:r>
        <w:rPr>
          <w:rFonts w:hint="default" w:ascii="Times New Roman" w:hAnsi="Times New Roman" w:eastAsia="仿宋" w:cs="Times New Roman"/>
          <w:color w:val="auto"/>
          <w:sz w:val="32"/>
          <w:szCs w:val="32"/>
          <w:lang w:val="en-US" w:eastAsia="zh-CN"/>
        </w:rPr>
        <w:t>71.12</w:t>
      </w:r>
      <w:r>
        <w:rPr>
          <w:rFonts w:hint="default" w:ascii="Times New Roman" w:hAnsi="Times New Roman" w:eastAsia="仿宋" w:cs="Times New Roman"/>
          <w:color w:val="auto"/>
          <w:sz w:val="32"/>
          <w:szCs w:val="32"/>
        </w:rPr>
        <w:t>%。其原因主要为：</w:t>
      </w:r>
      <w:r>
        <w:rPr>
          <w:rFonts w:hint="default" w:ascii="Times New Roman" w:hAnsi="Times New Roman" w:eastAsia="仿宋" w:cs="Times New Roman"/>
          <w:color w:val="auto"/>
          <w:sz w:val="32"/>
          <w:szCs w:val="32"/>
          <w:lang w:eastAsia="zh-CN"/>
        </w:rPr>
        <w:t>受疫情影响，公务外出及接待人数及批次远少于上年</w:t>
      </w:r>
      <w:r>
        <w:rPr>
          <w:rFonts w:hint="default" w:ascii="Times New Roman" w:hAnsi="Times New Roman" w:eastAsia="仿宋" w:cs="Times New Roman"/>
          <w:color w:val="auto"/>
          <w:sz w:val="32"/>
          <w:szCs w:val="32"/>
        </w:rPr>
        <w:t>。</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t>国内公务接待</w:t>
      </w:r>
      <w:r>
        <w:rPr>
          <w:rFonts w:hint="default" w:ascii="Times New Roman" w:hAnsi="Times New Roman" w:eastAsia="仿宋" w:cs="Times New Roman"/>
          <w:color w:val="auto"/>
          <w:sz w:val="32"/>
          <w:szCs w:val="32"/>
          <w:lang w:val="en-US" w:eastAsia="zh-CN"/>
        </w:rPr>
        <w:t>10</w:t>
      </w:r>
      <w:r>
        <w:rPr>
          <w:rFonts w:hint="default" w:ascii="Times New Roman" w:hAnsi="Times New Roman" w:eastAsia="仿宋" w:cs="Times New Roman"/>
          <w:color w:val="auto"/>
          <w:sz w:val="32"/>
          <w:szCs w:val="32"/>
        </w:rPr>
        <w:t>批次，</w:t>
      </w:r>
      <w:r>
        <w:rPr>
          <w:rFonts w:hint="default" w:ascii="Times New Roman" w:hAnsi="Times New Roman" w:eastAsia="仿宋" w:cs="Times New Roman"/>
          <w:color w:val="auto"/>
          <w:sz w:val="32"/>
          <w:szCs w:val="32"/>
          <w:lang w:val="en-US" w:eastAsia="zh-CN"/>
        </w:rPr>
        <w:t>34</w:t>
      </w:r>
      <w:r>
        <w:rPr>
          <w:rFonts w:hint="default" w:ascii="Times New Roman" w:hAnsi="Times New Roman" w:eastAsia="仿宋" w:cs="Times New Roman"/>
          <w:color w:val="auto"/>
          <w:sz w:val="32"/>
          <w:szCs w:val="32"/>
        </w:rPr>
        <w:t>人次，共计支出</w:t>
      </w:r>
      <w:r>
        <w:rPr>
          <w:rFonts w:hint="eastAsia" w:eastAsia="仿宋" w:cs="Times New Roman"/>
          <w:color w:val="auto"/>
          <w:sz w:val="32"/>
          <w:szCs w:val="32"/>
          <w:lang w:val="en-US" w:eastAsia="zh-CN"/>
        </w:rPr>
        <w:t>0.58</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000000" w:themeColor="text1"/>
          <w:sz w:val="32"/>
          <w:szCs w:val="32"/>
          <w14:textFill>
            <w14:solidFill>
              <w14:schemeClr w14:val="tx1"/>
            </w14:solidFill>
          </w14:textFill>
        </w:rPr>
        <w:t>具体内容包括：</w:t>
      </w:r>
      <w:r>
        <w:rPr>
          <w:rFonts w:hint="default" w:ascii="Times New Roman" w:hAnsi="Times New Roman" w:eastAsia="仿宋" w:cs="Times New Roman"/>
          <w:color w:val="000000" w:themeColor="text1"/>
          <w:sz w:val="32"/>
          <w:szCs w:val="32"/>
          <w:lang w:eastAsia="zh-CN"/>
          <w14:textFill>
            <w14:solidFill>
              <w14:schemeClr w14:val="tx1"/>
            </w14:solidFill>
          </w14:textFill>
        </w:rPr>
        <w:t>征集李国超档案征集接待费</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0.044</w:t>
      </w:r>
      <w:r>
        <w:rPr>
          <w:rFonts w:hint="default" w:ascii="Times New Roman" w:hAnsi="Times New Roman" w:eastAsia="仿宋" w:cs="Times New Roman"/>
          <w:color w:val="000000" w:themeColor="text1"/>
          <w:sz w:val="32"/>
          <w:szCs w:val="32"/>
          <w14:textFill>
            <w14:solidFill>
              <w14:schemeClr w14:val="tx1"/>
            </w14:solidFill>
          </w14:textFill>
        </w:rPr>
        <w:t>万元；支付</w:t>
      </w:r>
      <w:r>
        <w:rPr>
          <w:rFonts w:hint="default" w:ascii="Times New Roman" w:hAnsi="Times New Roman" w:eastAsia="仿宋" w:cs="Times New Roman"/>
          <w:color w:val="000000" w:themeColor="text1"/>
          <w:sz w:val="32"/>
          <w:szCs w:val="32"/>
          <w:lang w:eastAsia="zh-CN"/>
          <w14:textFill>
            <w14:solidFill>
              <w14:schemeClr w14:val="tx1"/>
            </w14:solidFill>
          </w14:textFill>
        </w:rPr>
        <w:t>方小榕来攀考订方毅档案工作餐费</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0.1</w:t>
      </w:r>
      <w:r>
        <w:rPr>
          <w:rFonts w:hint="default" w:ascii="Times New Roman" w:hAnsi="Times New Roman" w:eastAsia="仿宋" w:cs="Times New Roman"/>
          <w:color w:val="000000" w:themeColor="text1"/>
          <w:sz w:val="32"/>
          <w:szCs w:val="32"/>
          <w14:textFill>
            <w14:solidFill>
              <w14:schemeClr w14:val="tx1"/>
            </w14:solidFill>
          </w14:textFill>
        </w:rPr>
        <w:t>万元；接待</w:t>
      </w:r>
      <w:r>
        <w:rPr>
          <w:rFonts w:hint="default" w:ascii="Times New Roman" w:hAnsi="Times New Roman" w:eastAsia="仿宋" w:cs="Times New Roman"/>
          <w:color w:val="000000" w:themeColor="text1"/>
          <w:sz w:val="32"/>
          <w:szCs w:val="32"/>
          <w:lang w:eastAsia="zh-CN"/>
          <w14:textFill>
            <w14:solidFill>
              <w14:schemeClr w14:val="tx1"/>
            </w14:solidFill>
          </w14:textFill>
        </w:rPr>
        <w:t>资阳学习考察组</w:t>
      </w:r>
      <w:r>
        <w:rPr>
          <w:rFonts w:hint="default" w:ascii="Times New Roman" w:hAnsi="Times New Roman" w:eastAsia="仿宋" w:cs="Times New Roman"/>
          <w:color w:val="000000" w:themeColor="text1"/>
          <w:sz w:val="32"/>
          <w:szCs w:val="32"/>
          <w14:textFill>
            <w14:solidFill>
              <w14:schemeClr w14:val="tx1"/>
            </w14:solidFill>
          </w14:textFill>
        </w:rPr>
        <w:t>接待费</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0.125</w:t>
      </w:r>
      <w:r>
        <w:rPr>
          <w:rFonts w:hint="default" w:ascii="Times New Roman" w:hAnsi="Times New Roman" w:eastAsia="仿宋" w:cs="Times New Roman"/>
          <w:color w:val="000000" w:themeColor="text1"/>
          <w:sz w:val="32"/>
          <w:szCs w:val="32"/>
          <w14:textFill>
            <w14:solidFill>
              <w14:schemeClr w14:val="tx1"/>
            </w14:solidFill>
          </w14:textFill>
        </w:rPr>
        <w:t>万元</w:t>
      </w:r>
      <w:r>
        <w:rPr>
          <w:rFonts w:hint="default" w:ascii="Times New Roman" w:hAnsi="Times New Roman" w:eastAsia="仿宋" w:cs="Times New Roman"/>
          <w:color w:val="000000" w:themeColor="text1"/>
          <w:sz w:val="32"/>
          <w:szCs w:val="32"/>
          <w:lang w:eastAsia="zh-CN"/>
          <w14:textFill>
            <w14:solidFill>
              <w14:schemeClr w14:val="tx1"/>
            </w14:solidFill>
          </w14:textFill>
        </w:rPr>
        <w:t>；补报</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2020年9月接待凉山州档案馆参观三线建设博物馆讲解0.01</w:t>
      </w:r>
      <w:r>
        <w:rPr>
          <w:rFonts w:hint="default" w:ascii="Times New Roman" w:hAnsi="Times New Roman" w:eastAsia="仿宋" w:cs="Times New Roman"/>
          <w:color w:val="000000" w:themeColor="text1"/>
          <w:sz w:val="32"/>
          <w:szCs w:val="32"/>
          <w14:textFill>
            <w14:solidFill>
              <w14:schemeClr w14:val="tx1"/>
            </w14:solidFill>
          </w14:textFill>
        </w:rPr>
        <w:t>万元</w:t>
      </w:r>
      <w:r>
        <w:rPr>
          <w:rFonts w:hint="default" w:ascii="Times New Roman" w:hAnsi="Times New Roman" w:eastAsia="仿宋" w:cs="Times New Roman"/>
          <w:color w:val="000000" w:themeColor="text1"/>
          <w:sz w:val="32"/>
          <w:szCs w:val="32"/>
          <w:lang w:eastAsia="zh-CN"/>
          <w14:textFill>
            <w14:solidFill>
              <w14:schemeClr w14:val="tx1"/>
            </w14:solidFill>
          </w14:textFill>
        </w:rPr>
        <w:t>；曾俊、汤丽君成都征集民国时期宁属地质调查相关资料接待费</w:t>
      </w:r>
      <w:r>
        <w:rPr>
          <w:rFonts w:hint="default" w:ascii="Times New Roman" w:hAnsi="Times New Roman" w:eastAsia="仿宋" w:cs="Times New Roman"/>
          <w:color w:val="000000" w:themeColor="text1"/>
          <w:sz w:val="32"/>
          <w:szCs w:val="32"/>
          <w14:textFill>
            <w14:solidFill>
              <w14:schemeClr w14:val="tx1"/>
            </w14:solidFill>
          </w14:textFill>
        </w:rPr>
        <w:t>0.</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047</w:t>
      </w:r>
      <w:r>
        <w:rPr>
          <w:rFonts w:hint="default" w:ascii="Times New Roman" w:hAnsi="Times New Roman" w:eastAsia="仿宋" w:cs="Times New Roman"/>
          <w:color w:val="000000" w:themeColor="text1"/>
          <w:sz w:val="32"/>
          <w:szCs w:val="32"/>
          <w14:textFill>
            <w14:solidFill>
              <w14:schemeClr w14:val="tx1"/>
            </w14:solidFill>
          </w14:textFill>
        </w:rPr>
        <w:t>万元</w:t>
      </w:r>
      <w:r>
        <w:rPr>
          <w:rFonts w:hint="default" w:ascii="Times New Roman" w:hAnsi="Times New Roman" w:eastAsia="仿宋" w:cs="Times New Roman"/>
          <w:color w:val="000000" w:themeColor="text1"/>
          <w:sz w:val="32"/>
          <w:szCs w:val="32"/>
          <w:lang w:eastAsia="zh-CN"/>
          <w14:textFill>
            <w14:solidFill>
              <w14:schemeClr w14:val="tx1"/>
            </w14:solidFill>
          </w14:textFill>
        </w:rPr>
        <w:t>；征集“攀枝花重大历史回顾”相关档案</w:t>
      </w:r>
      <w:r>
        <w:rPr>
          <w:rFonts w:hint="default" w:ascii="Times New Roman" w:hAnsi="Times New Roman" w:eastAsia="仿宋" w:cs="Times New Roman"/>
          <w:color w:val="000000" w:themeColor="text1"/>
          <w:sz w:val="32"/>
          <w:szCs w:val="32"/>
          <w14:textFill>
            <w14:solidFill>
              <w14:schemeClr w14:val="tx1"/>
            </w14:solidFill>
          </w14:textFill>
        </w:rPr>
        <w:t>工作餐费</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0.054</w:t>
      </w:r>
      <w:r>
        <w:rPr>
          <w:rFonts w:hint="default" w:ascii="Times New Roman" w:hAnsi="Times New Roman" w:eastAsia="仿宋" w:cs="Times New Roman"/>
          <w:color w:val="000000" w:themeColor="text1"/>
          <w:sz w:val="32"/>
          <w:szCs w:val="32"/>
          <w14:textFill>
            <w14:solidFill>
              <w14:schemeClr w14:val="tx1"/>
            </w14:solidFill>
          </w14:textFill>
        </w:rPr>
        <w:t>万元</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接待</w:t>
      </w:r>
      <w:r>
        <w:rPr>
          <w:rFonts w:hint="default" w:ascii="Times New Roman" w:hAnsi="Times New Roman" w:eastAsia="仿宋" w:cs="Times New Roman"/>
          <w:color w:val="000000" w:themeColor="text1"/>
          <w:sz w:val="32"/>
          <w:szCs w:val="32"/>
          <w:lang w:eastAsia="zh-CN"/>
          <w14:textFill>
            <w14:solidFill>
              <w14:schemeClr w14:val="tx1"/>
            </w14:solidFill>
          </w14:textFill>
        </w:rPr>
        <w:t>得石镇来馆交流坊田一组村脱贫攻坚及乡村振兴工作</w:t>
      </w:r>
      <w:r>
        <w:rPr>
          <w:rFonts w:hint="default" w:ascii="Times New Roman" w:hAnsi="Times New Roman" w:eastAsia="仿宋" w:cs="Times New Roman"/>
          <w:color w:val="000000" w:themeColor="text1"/>
          <w:sz w:val="32"/>
          <w:szCs w:val="32"/>
          <w14:textFill>
            <w14:solidFill>
              <w14:schemeClr w14:val="tx1"/>
            </w14:solidFill>
          </w14:textFill>
        </w:rPr>
        <w:t>接待费</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0.105</w:t>
      </w:r>
      <w:r>
        <w:rPr>
          <w:rFonts w:hint="default" w:ascii="Times New Roman" w:hAnsi="Times New Roman" w:eastAsia="仿宋" w:cs="Times New Roman"/>
          <w:color w:val="000000" w:themeColor="text1"/>
          <w:sz w:val="32"/>
          <w:szCs w:val="32"/>
          <w14:textFill>
            <w14:solidFill>
              <w14:schemeClr w14:val="tx1"/>
            </w14:solidFill>
          </w14:textFill>
        </w:rPr>
        <w:t>万元</w:t>
      </w:r>
      <w:r>
        <w:rPr>
          <w:rFonts w:hint="default" w:ascii="Times New Roman" w:hAnsi="Times New Roman" w:eastAsia="仿宋" w:cs="Times New Roman"/>
          <w:color w:val="000000" w:themeColor="text1"/>
          <w:sz w:val="32"/>
          <w:szCs w:val="32"/>
          <w:lang w:eastAsia="zh-CN"/>
          <w14:textFill>
            <w14:solidFill>
              <w14:schemeClr w14:val="tx1"/>
            </w14:solidFill>
          </w14:textFill>
        </w:rPr>
        <w:t>；四川省档案综合管理服务平台软件功能方案研讨会餐费</w:t>
      </w:r>
      <w:r>
        <w:rPr>
          <w:rFonts w:hint="default" w:ascii="Times New Roman" w:hAnsi="Times New Roman" w:eastAsia="仿宋" w:cs="Times New Roman"/>
          <w:color w:val="000000" w:themeColor="text1"/>
          <w:sz w:val="32"/>
          <w:szCs w:val="32"/>
          <w14:textFill>
            <w14:solidFill>
              <w14:schemeClr w14:val="tx1"/>
            </w14:solidFill>
          </w14:textFill>
        </w:rPr>
        <w:t>0.</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14:textFill>
            <w14:solidFill>
              <w14:schemeClr w14:val="tx1"/>
            </w14:solidFill>
          </w14:textFill>
        </w:rPr>
        <w:t>2</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接待</w:t>
      </w:r>
      <w:r>
        <w:rPr>
          <w:rFonts w:hint="default" w:ascii="Times New Roman" w:hAnsi="Times New Roman" w:eastAsia="仿宋" w:cs="Times New Roman"/>
          <w:color w:val="000000" w:themeColor="text1"/>
          <w:sz w:val="32"/>
          <w:szCs w:val="32"/>
          <w:lang w:eastAsia="zh-CN"/>
          <w14:textFill>
            <w14:solidFill>
              <w14:schemeClr w14:val="tx1"/>
            </w14:solidFill>
          </w14:textFill>
        </w:rPr>
        <w:t>省馆调研干部人事管理工作</w:t>
      </w:r>
      <w:r>
        <w:rPr>
          <w:rFonts w:hint="default" w:ascii="Times New Roman" w:hAnsi="Times New Roman" w:eastAsia="仿宋" w:cs="Times New Roman"/>
          <w:color w:val="000000" w:themeColor="text1"/>
          <w:sz w:val="32"/>
          <w:szCs w:val="32"/>
          <w14:textFill>
            <w14:solidFill>
              <w14:schemeClr w14:val="tx1"/>
            </w14:solidFill>
          </w14:textFill>
        </w:rPr>
        <w:t>餐费0.</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047</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其中：</w:t>
      </w:r>
    </w:p>
    <w:p>
      <w:pPr>
        <w:spacing w:line="60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外事接待支出</w:t>
      </w:r>
      <w:r>
        <w:rPr>
          <w:rFonts w:hint="default" w:ascii="Times New Roman" w:hAnsi="Times New Roman" w:eastAsia="仿宋" w:cs="Times New Roman"/>
          <w:sz w:val="32"/>
          <w:szCs w:val="32"/>
        </w:rPr>
        <w:t>0万元，外事接待0批次，0人，共计支出0万元，主要用于接待无。</w:t>
      </w:r>
    </w:p>
    <w:p>
      <w:pPr>
        <w:spacing w:line="60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b/>
          <w:sz w:val="32"/>
          <w:szCs w:val="32"/>
        </w:rPr>
        <w:t>其他国内公务接待支出</w:t>
      </w:r>
      <w:r>
        <w:rPr>
          <w:rFonts w:hint="default" w:ascii="Times New Roman" w:hAnsi="Times New Roman" w:eastAsia="仿宋" w:cs="Times New Roman"/>
          <w:bCs/>
          <w:sz w:val="32"/>
          <w:szCs w:val="32"/>
        </w:rPr>
        <w:t>0</w:t>
      </w:r>
      <w:r>
        <w:rPr>
          <w:rFonts w:hint="default" w:ascii="Times New Roman" w:hAnsi="Times New Roman" w:eastAsia="仿宋" w:cs="Times New Roman"/>
          <w:sz w:val="32"/>
          <w:szCs w:val="32"/>
        </w:rPr>
        <w:t>万元。</w:t>
      </w:r>
      <w:bookmarkStart w:id="48" w:name="_Toc15377218"/>
    </w:p>
    <w:p>
      <w:pPr>
        <w:spacing w:line="600" w:lineRule="exact"/>
        <w:ind w:firstLine="640"/>
        <w:outlineLvl w:val="1"/>
        <w:rPr>
          <w:rStyle w:val="26"/>
          <w:rFonts w:hint="default" w:ascii="Times New Roman" w:hAnsi="Times New Roman" w:eastAsia="黑体" w:cs="Times New Roman"/>
        </w:rPr>
      </w:pPr>
      <w:bookmarkStart w:id="49" w:name="_Toc51100212"/>
      <w:r>
        <w:rPr>
          <w:rFonts w:hint="default" w:ascii="Times New Roman" w:hAnsi="Times New Roman" w:eastAsia="黑体" w:cs="Times New Roman"/>
          <w:sz w:val="32"/>
          <w:szCs w:val="32"/>
        </w:rPr>
        <w:t>八、</w:t>
      </w:r>
      <w:r>
        <w:rPr>
          <w:rStyle w:val="26"/>
          <w:rFonts w:hint="default" w:ascii="Times New Roman" w:hAnsi="Times New Roman" w:eastAsia="黑体" w:cs="Times New Roman"/>
          <w:b w:val="0"/>
        </w:rPr>
        <w:t>政府性基金预算支出决算情况说明</w:t>
      </w:r>
      <w:bookmarkEnd w:id="48"/>
      <w:bookmarkEnd w:id="49"/>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年政府性基金预算拨款收入</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万元，支出</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万元。</w:t>
      </w:r>
    </w:p>
    <w:p>
      <w:pPr>
        <w:numPr>
          <w:ilvl w:val="0"/>
          <w:numId w:val="1"/>
        </w:numPr>
        <w:spacing w:line="600" w:lineRule="exact"/>
        <w:ind w:firstLine="640"/>
        <w:outlineLvl w:val="1"/>
        <w:rPr>
          <w:rStyle w:val="26"/>
          <w:rFonts w:hint="default" w:ascii="Times New Roman" w:hAnsi="Times New Roman" w:eastAsia="黑体" w:cs="Times New Roman"/>
          <w:b w:val="0"/>
        </w:rPr>
      </w:pPr>
      <w:bookmarkStart w:id="50" w:name="_Toc15377219"/>
      <w:bookmarkStart w:id="51" w:name="_Toc51100213"/>
      <w:r>
        <w:rPr>
          <w:rStyle w:val="26"/>
          <w:rFonts w:hint="default" w:ascii="Times New Roman" w:hAnsi="Times New Roman" w:eastAsia="黑体" w:cs="Times New Roman"/>
          <w:b w:val="0"/>
        </w:rPr>
        <w:t>国有资本经营预算支出决算情况说明</w:t>
      </w:r>
      <w:bookmarkEnd w:id="50"/>
      <w:bookmarkEnd w:id="51"/>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年国有资本经营预算拨款支出0万元。</w:t>
      </w:r>
    </w:p>
    <w:p>
      <w:pPr>
        <w:pStyle w:val="24"/>
        <w:numPr>
          <w:ilvl w:val="0"/>
          <w:numId w:val="2"/>
        </w:numPr>
        <w:spacing w:line="580" w:lineRule="exact"/>
        <w:ind w:firstLineChars="0"/>
        <w:rPr>
          <w:rStyle w:val="26"/>
          <w:rFonts w:hint="default" w:ascii="Times New Roman" w:hAnsi="Times New Roman" w:eastAsia="黑体" w:cs="Times New Roman"/>
          <w:b w:val="0"/>
        </w:rPr>
      </w:pPr>
      <w:bookmarkStart w:id="52" w:name="_Toc51100214"/>
      <w:r>
        <w:rPr>
          <w:rStyle w:val="26"/>
          <w:rFonts w:hint="default" w:ascii="Times New Roman" w:hAnsi="Times New Roman" w:eastAsia="黑体" w:cs="Times New Roman"/>
          <w:b w:val="0"/>
        </w:rPr>
        <w:t>其他重要事项的情况说明</w:t>
      </w:r>
      <w:bookmarkEnd w:id="52"/>
    </w:p>
    <w:p>
      <w:pPr>
        <w:spacing w:line="600" w:lineRule="exact"/>
        <w:ind w:firstLine="642" w:firstLineChars="200"/>
        <w:outlineLvl w:val="2"/>
        <w:rPr>
          <w:rFonts w:hint="default" w:ascii="Times New Roman" w:hAnsi="Times New Roman" w:eastAsia="仿宋" w:cs="Times New Roman"/>
          <w:sz w:val="32"/>
          <w:szCs w:val="32"/>
        </w:rPr>
      </w:pPr>
      <w:bookmarkStart w:id="53" w:name="_Toc15377222"/>
      <w:r>
        <w:rPr>
          <w:rFonts w:hint="default" w:ascii="Times New Roman" w:hAnsi="Times New Roman" w:eastAsia="仿宋" w:cs="Times New Roman"/>
          <w:b/>
          <w:sz w:val="32"/>
          <w:szCs w:val="32"/>
        </w:rPr>
        <w:t>（一）机关运行经费支出情况</w:t>
      </w:r>
      <w:bookmarkEnd w:id="53"/>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年，攀枝花市档案馆机关运行经费支出</w:t>
      </w:r>
      <w:r>
        <w:rPr>
          <w:rFonts w:hint="default" w:ascii="Times New Roman" w:hAnsi="Times New Roman" w:eastAsia="仿宋" w:cs="Times New Roman"/>
          <w:sz w:val="32"/>
          <w:szCs w:val="32"/>
          <w:lang w:val="en-US" w:eastAsia="zh-CN"/>
        </w:rPr>
        <w:t>61.59</w:t>
      </w:r>
      <w:r>
        <w:rPr>
          <w:rFonts w:hint="default" w:ascii="Times New Roman" w:hAnsi="Times New Roman" w:eastAsia="仿宋" w:cs="Times New Roman"/>
          <w:color w:val="000000" w:themeColor="text1"/>
          <w:sz w:val="32"/>
          <w:szCs w:val="32"/>
          <w14:textFill>
            <w14:solidFill>
              <w14:schemeClr w14:val="tx1"/>
            </w14:solidFill>
          </w14:textFill>
        </w:rPr>
        <w:t>万元，比</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2020</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000000" w:themeColor="text1"/>
          <w:sz w:val="32"/>
          <w:szCs w:val="32"/>
          <w:lang w:eastAsia="zh-CN"/>
          <w14:textFill>
            <w14:solidFill>
              <w14:schemeClr w14:val="tx1"/>
            </w14:solidFill>
          </w14:textFill>
        </w:rPr>
        <w:t>减少</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106.13</w:t>
      </w:r>
      <w:r>
        <w:rPr>
          <w:rFonts w:hint="default" w:ascii="Times New Roman" w:hAnsi="Times New Roman" w:eastAsia="仿宋" w:cs="Times New Roman"/>
          <w:color w:val="000000" w:themeColor="text1"/>
          <w:sz w:val="32"/>
          <w:szCs w:val="32"/>
          <w14:textFill>
            <w14:solidFill>
              <w14:schemeClr w14:val="tx1"/>
            </w14:solidFill>
          </w14:textFill>
        </w:rPr>
        <w:t>万元，下降</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63.27</w:t>
      </w:r>
      <w:r>
        <w:rPr>
          <w:rFonts w:hint="default" w:ascii="Times New Roman" w:hAnsi="Times New Roman" w:eastAsia="仿宋" w:cs="Times New Roman"/>
          <w:color w:val="000000" w:themeColor="text1"/>
          <w:sz w:val="32"/>
          <w:szCs w:val="32"/>
          <w14:textFill>
            <w14:solidFill>
              <w14:schemeClr w14:val="tx1"/>
            </w14:solidFill>
          </w14:textFill>
        </w:rPr>
        <w:t>%。主要原因是为保障项目运行所列支的委托业务费</w:t>
      </w:r>
      <w:r>
        <w:rPr>
          <w:rFonts w:hint="default" w:ascii="Times New Roman" w:hAnsi="Times New Roman" w:eastAsia="仿宋" w:cs="Times New Roman"/>
          <w:color w:val="000000" w:themeColor="text1"/>
          <w:sz w:val="32"/>
          <w:szCs w:val="32"/>
          <w:lang w:eastAsia="zh-CN"/>
          <w14:textFill>
            <w14:solidFill>
              <w14:schemeClr w14:val="tx1"/>
            </w14:solidFill>
          </w14:textFill>
        </w:rPr>
        <w:t>低</w:t>
      </w:r>
      <w:r>
        <w:rPr>
          <w:rFonts w:hint="default" w:ascii="Times New Roman" w:hAnsi="Times New Roman" w:eastAsia="仿宋" w:cs="Times New Roman"/>
          <w:color w:val="000000" w:themeColor="text1"/>
          <w:sz w:val="32"/>
          <w:szCs w:val="32"/>
          <w14:textFill>
            <w14:solidFill>
              <w14:schemeClr w14:val="tx1"/>
            </w14:solidFill>
          </w14:textFill>
        </w:rPr>
        <w:t>于20</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sz w:val="32"/>
          <w:szCs w:val="32"/>
        </w:rPr>
        <w:t>。</w:t>
      </w:r>
    </w:p>
    <w:p>
      <w:pPr>
        <w:autoSpaceDE w:val="0"/>
        <w:autoSpaceDN w:val="0"/>
        <w:adjustRightInd w:val="0"/>
        <w:spacing w:line="600" w:lineRule="exact"/>
        <w:ind w:firstLine="642" w:firstLineChars="200"/>
        <w:jc w:val="left"/>
        <w:outlineLvl w:val="2"/>
        <w:rPr>
          <w:rFonts w:hint="default" w:ascii="Times New Roman" w:hAnsi="Times New Roman" w:eastAsia="仿宋" w:cs="Times New Roman"/>
          <w:b/>
          <w:sz w:val="32"/>
          <w:szCs w:val="32"/>
        </w:rPr>
      </w:pPr>
      <w:bookmarkStart w:id="54" w:name="_Toc15377223"/>
      <w:r>
        <w:rPr>
          <w:rFonts w:hint="default" w:ascii="Times New Roman" w:hAnsi="Times New Roman" w:eastAsia="仿宋" w:cs="Times New Roman"/>
          <w:b/>
          <w:sz w:val="32"/>
          <w:szCs w:val="32"/>
        </w:rPr>
        <w:t>（二）政府采购支出情况</w:t>
      </w:r>
      <w:bookmarkEnd w:id="54"/>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eastAsia" w:eastAsia="仿宋" w:cs="Times New Roman"/>
          <w:sz w:val="32"/>
          <w:szCs w:val="32"/>
          <w:lang w:val="en-US" w:eastAsia="zh-CN"/>
        </w:rPr>
        <w:t>1</w:t>
      </w:r>
      <w:r>
        <w:rPr>
          <w:rFonts w:hint="default" w:ascii="Times New Roman" w:hAnsi="Times New Roman" w:eastAsia="仿宋" w:cs="Times New Roman"/>
          <w:sz w:val="32"/>
          <w:szCs w:val="32"/>
        </w:rPr>
        <w:t>年，攀枝花市档案馆政府采购支出总额</w:t>
      </w:r>
      <w:r>
        <w:rPr>
          <w:rFonts w:hint="default" w:ascii="Times New Roman" w:hAnsi="Times New Roman" w:eastAsia="仿宋" w:cs="Times New Roman"/>
          <w:sz w:val="32"/>
          <w:szCs w:val="32"/>
          <w:lang w:val="en-US" w:eastAsia="zh-CN"/>
        </w:rPr>
        <w:t>27.8</w:t>
      </w:r>
      <w:r>
        <w:rPr>
          <w:rFonts w:hint="default" w:ascii="Times New Roman" w:hAnsi="Times New Roman" w:eastAsia="仿宋" w:cs="Times New Roman"/>
          <w:sz w:val="32"/>
          <w:szCs w:val="32"/>
        </w:rPr>
        <w:t>万元，其中：政府采购货物支出</w:t>
      </w:r>
      <w:r>
        <w:rPr>
          <w:rFonts w:hint="default" w:ascii="Times New Roman" w:hAnsi="Times New Roman" w:eastAsia="仿宋" w:cs="Times New Roman"/>
          <w:sz w:val="32"/>
          <w:szCs w:val="32"/>
          <w:lang w:val="en-US" w:eastAsia="zh-CN"/>
        </w:rPr>
        <w:t>27.8</w:t>
      </w:r>
      <w:r>
        <w:rPr>
          <w:rFonts w:hint="default" w:ascii="Times New Roman" w:hAnsi="Times New Roman" w:eastAsia="仿宋" w:cs="Times New Roman"/>
          <w:sz w:val="32"/>
          <w:szCs w:val="32"/>
        </w:rPr>
        <w:t>万元、政府采购工程支出0万元、政府采购服务支出0万元。主要用于办公用打印机及打复印一体机。授予中小企业合同金额</w:t>
      </w:r>
      <w:r>
        <w:rPr>
          <w:rFonts w:hint="default" w:ascii="Times New Roman" w:hAnsi="Times New Roman" w:eastAsia="仿宋" w:cs="Times New Roman"/>
          <w:sz w:val="32"/>
          <w:szCs w:val="32"/>
          <w:lang w:val="en-US" w:eastAsia="zh-CN"/>
        </w:rPr>
        <w:t>27.8</w:t>
      </w:r>
      <w:r>
        <w:rPr>
          <w:rFonts w:hint="default" w:ascii="Times New Roman" w:hAnsi="Times New Roman" w:eastAsia="仿宋" w:cs="Times New Roman"/>
          <w:sz w:val="32"/>
          <w:szCs w:val="32"/>
        </w:rPr>
        <w:t>万元，占政府采购支出总额的100%，其中：授予小微企业合同金额</w:t>
      </w:r>
      <w:r>
        <w:rPr>
          <w:rFonts w:hint="default" w:ascii="Times New Roman" w:hAnsi="Times New Roman" w:eastAsia="仿宋" w:cs="Times New Roman"/>
          <w:sz w:val="32"/>
          <w:szCs w:val="32"/>
          <w:lang w:val="en-US" w:eastAsia="zh-CN"/>
        </w:rPr>
        <w:t>27.8</w:t>
      </w:r>
      <w:r>
        <w:rPr>
          <w:rFonts w:hint="default" w:ascii="Times New Roman" w:hAnsi="Times New Roman" w:eastAsia="仿宋" w:cs="Times New Roman"/>
          <w:sz w:val="32"/>
          <w:szCs w:val="32"/>
        </w:rPr>
        <w:t>万元，占政府采购支出总额的100%。</w:t>
      </w:r>
    </w:p>
    <w:p>
      <w:pPr>
        <w:autoSpaceDE w:val="0"/>
        <w:autoSpaceDN w:val="0"/>
        <w:adjustRightInd w:val="0"/>
        <w:spacing w:line="600" w:lineRule="exact"/>
        <w:ind w:firstLine="642" w:firstLineChars="200"/>
        <w:jc w:val="left"/>
        <w:outlineLvl w:val="2"/>
        <w:rPr>
          <w:rFonts w:hint="default" w:ascii="Times New Roman" w:hAnsi="Times New Roman" w:eastAsia="仿宋" w:cs="Times New Roman"/>
          <w:b/>
          <w:sz w:val="32"/>
          <w:szCs w:val="32"/>
        </w:rPr>
      </w:pPr>
      <w:bookmarkStart w:id="55" w:name="_Toc15377224"/>
      <w:r>
        <w:rPr>
          <w:rFonts w:hint="default" w:ascii="Times New Roman" w:hAnsi="Times New Roman" w:eastAsia="仿宋" w:cs="Times New Roman"/>
          <w:b/>
          <w:sz w:val="32"/>
          <w:szCs w:val="32"/>
        </w:rPr>
        <w:t>（三）国有资产占有使用情况</w:t>
      </w:r>
      <w:bookmarkEnd w:id="55"/>
    </w:p>
    <w:p>
      <w:pPr>
        <w:spacing w:line="58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12月31日，攀枝花市档案馆共有车辆1辆，其中：部级领导干部用车0辆、一般公务用车1辆、一般执法执勤用车0辆、特种专业技术用车0辆、其他用车0辆。单价50万元以上通用设备0台（套），单价100万元以上专用设备0台（套）。</w:t>
      </w:r>
    </w:p>
    <w:p>
      <w:pPr>
        <w:spacing w:line="580" w:lineRule="exact"/>
        <w:ind w:firstLine="481" w:firstLineChars="15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（四）预算绩效管理情况</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根据预算绩效管理要求，本单位在</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2021年度</w:t>
      </w:r>
      <w:r>
        <w:rPr>
          <w:rFonts w:hint="default" w:ascii="Times New Roman" w:hAnsi="Times New Roman" w:eastAsia="仿宋" w:cs="Times New Roman"/>
          <w:color w:val="000000" w:themeColor="text1"/>
          <w:sz w:val="32"/>
          <w:szCs w:val="32"/>
          <w14:textFill>
            <w14:solidFill>
              <w14:schemeClr w14:val="tx1"/>
            </w14:solidFill>
          </w14:textFill>
        </w:rPr>
        <w:t>预算编制阶段，组织对</w:t>
      </w:r>
      <w:r>
        <w:rPr>
          <w:rFonts w:hint="default" w:ascii="Times New Roman" w:hAnsi="Times New Roman" w:eastAsia="仿宋" w:cs="Times New Roman"/>
          <w:sz w:val="32"/>
          <w:szCs w:val="32"/>
          <w:lang w:bidi="ar-SA"/>
        </w:rPr>
        <w:t>馆藏档案</w:t>
      </w:r>
      <w:r>
        <w:rPr>
          <w:rFonts w:hint="default" w:ascii="Times New Roman" w:hAnsi="Times New Roman" w:eastAsia="仿宋" w:cs="Times New Roman"/>
          <w:sz w:val="32"/>
          <w:szCs w:val="32"/>
          <w:lang w:eastAsia="zh-CN" w:bidi="ar-SA"/>
        </w:rPr>
        <w:t>特种设备维保</w:t>
      </w:r>
      <w:r>
        <w:rPr>
          <w:rFonts w:hint="default" w:ascii="Times New Roman" w:hAnsi="Times New Roman" w:eastAsia="仿宋" w:cs="Times New Roman"/>
          <w:sz w:val="32"/>
          <w:szCs w:val="32"/>
          <w:lang w:bidi="ar-SA"/>
        </w:rPr>
        <w:t>费</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lang w:bidi="ar-SA"/>
        </w:rPr>
        <w:t>档案馆馆藏档案用电费</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lang w:eastAsia="zh-CN" w:bidi="ar-SA"/>
        </w:rPr>
        <w:t>市档案馆搬迁经费</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lang w:eastAsia="zh-CN" w:bidi="ar-SA"/>
        </w:rPr>
        <w:t>李国超艺术档案征集等</w:t>
      </w:r>
      <w:r>
        <w:rPr>
          <w:rFonts w:hint="default" w:ascii="Times New Roman" w:hAnsi="Times New Roman" w:eastAsia="仿宋" w:cs="Times New Roman"/>
          <w:color w:val="000000" w:themeColor="text1"/>
          <w:sz w:val="32"/>
          <w:szCs w:val="32"/>
          <w14:textFill>
            <w14:solidFill>
              <w14:schemeClr w14:val="tx1"/>
            </w14:solidFill>
          </w14:textFill>
        </w:rPr>
        <w:t>项目开展了预算事前绩效评估，</w:t>
      </w:r>
      <w:r>
        <w:rPr>
          <w:rFonts w:hint="default" w:ascii="Times New Roman" w:hAnsi="Times New Roman" w:eastAsia="仿宋" w:cs="Times New Roman"/>
          <w:color w:val="000000" w:themeColor="text1"/>
          <w:sz w:val="32"/>
          <w:szCs w:val="32"/>
          <w:lang w:eastAsia="zh-CN"/>
          <w14:textFill>
            <w14:solidFill>
              <w14:schemeClr w14:val="tx1"/>
            </w14:solidFill>
          </w14:textFill>
        </w:rPr>
        <w:t>对</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4个项目</w:t>
      </w:r>
      <w:r>
        <w:rPr>
          <w:rFonts w:hint="default" w:ascii="Times New Roman" w:hAnsi="Times New Roman" w:eastAsia="仿宋" w:cs="Times New Roman"/>
          <w:color w:val="000000" w:themeColor="text1"/>
          <w:sz w:val="32"/>
          <w:szCs w:val="32"/>
          <w14:textFill>
            <w14:solidFill>
              <w14:schemeClr w14:val="tx1"/>
            </w14:solidFill>
          </w14:textFill>
        </w:rPr>
        <w:t>编制了绩效目标，预算执行过程中，选取</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14:textFill>
            <w14:solidFill>
              <w14:schemeClr w14:val="tx1"/>
            </w14:solidFill>
          </w14:textFill>
        </w:rPr>
        <w:t>个项目开展绩效监控，年终执行完毕后，对</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14:textFill>
            <w14:solidFill>
              <w14:schemeClr w14:val="tx1"/>
            </w14:solidFill>
          </w14:textFill>
        </w:rPr>
        <w:t>个项目开展了绩效</w:t>
      </w:r>
      <w:r>
        <w:rPr>
          <w:rFonts w:hint="default" w:ascii="Times New Roman" w:hAnsi="Times New Roman" w:eastAsia="仿宋" w:cs="Times New Roman"/>
          <w:color w:val="000000" w:themeColor="text1"/>
          <w:sz w:val="32"/>
          <w:szCs w:val="32"/>
          <w:lang w:eastAsia="zh-CN"/>
          <w14:textFill>
            <w14:solidFill>
              <w14:schemeClr w14:val="tx1"/>
            </w14:solidFill>
          </w14:textFill>
        </w:rPr>
        <w:t>自评</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同时，本部门对2021年部门整体开展绩效自评，《2021年</w:t>
      </w:r>
      <w:r>
        <w:rPr>
          <w:rFonts w:hint="default" w:ascii="Times New Roman" w:hAnsi="Times New Roman" w:eastAsia="仿宋" w:cs="Times New Roman"/>
          <w:sz w:val="32"/>
          <w:szCs w:val="32"/>
          <w:lang w:eastAsia="zh-CN"/>
        </w:rPr>
        <w:t>攀枝花市档案馆</w:t>
      </w:r>
      <w:r>
        <w:rPr>
          <w:rFonts w:hint="default" w:ascii="Times New Roman" w:hAnsi="Times New Roman" w:eastAsia="仿宋" w:cs="Times New Roman"/>
          <w:sz w:val="32"/>
          <w:szCs w:val="32"/>
        </w:rPr>
        <w:t>整体绩效评价报告》见附件（第四部分）。</w:t>
      </w:r>
    </w:p>
    <w:p>
      <w:pPr>
        <w:autoSpaceDE w:val="0"/>
        <w:autoSpaceDN w:val="0"/>
        <w:adjustRightInd w:val="0"/>
        <w:spacing w:line="600" w:lineRule="exact"/>
        <w:jc w:val="left"/>
        <w:rPr>
          <w:rFonts w:hint="default" w:ascii="Times New Roman" w:hAnsi="Times New Roman" w:eastAsia="仿宋_GB2312" w:cs="Times New Roman"/>
          <w:sz w:val="32"/>
          <w:szCs w:val="32"/>
        </w:rPr>
      </w:pPr>
    </w:p>
    <w:p>
      <w:pPr>
        <w:autoSpaceDE w:val="0"/>
        <w:autoSpaceDN w:val="0"/>
        <w:adjustRightInd w:val="0"/>
        <w:spacing w:line="600" w:lineRule="exact"/>
        <w:jc w:val="left"/>
        <w:rPr>
          <w:rFonts w:hint="default" w:ascii="Times New Roman" w:hAnsi="Times New Roman" w:eastAsia="仿宋_GB2312" w:cs="Times New Roman"/>
          <w:sz w:val="32"/>
          <w:szCs w:val="32"/>
        </w:rPr>
      </w:pPr>
    </w:p>
    <w:p>
      <w:pPr>
        <w:autoSpaceDE w:val="0"/>
        <w:autoSpaceDN w:val="0"/>
        <w:adjustRightInd w:val="0"/>
        <w:spacing w:line="600" w:lineRule="exact"/>
        <w:jc w:val="left"/>
        <w:rPr>
          <w:rFonts w:hint="default" w:ascii="Times New Roman" w:hAnsi="Times New Roman" w:eastAsia="仿宋_GB2312" w:cs="Times New Roman"/>
          <w:sz w:val="32"/>
          <w:szCs w:val="32"/>
        </w:rPr>
      </w:pPr>
    </w:p>
    <w:p>
      <w:pPr>
        <w:autoSpaceDE w:val="0"/>
        <w:autoSpaceDN w:val="0"/>
        <w:adjustRightInd w:val="0"/>
        <w:spacing w:line="600" w:lineRule="exact"/>
        <w:jc w:val="left"/>
        <w:rPr>
          <w:rFonts w:hint="default" w:ascii="Times New Roman" w:hAnsi="Times New Roman" w:eastAsia="仿宋_GB2312" w:cs="Times New Roman"/>
          <w:sz w:val="32"/>
          <w:szCs w:val="32"/>
        </w:rPr>
      </w:pPr>
    </w:p>
    <w:p>
      <w:pPr>
        <w:autoSpaceDE w:val="0"/>
        <w:autoSpaceDN w:val="0"/>
        <w:adjustRightInd w:val="0"/>
        <w:spacing w:line="600" w:lineRule="exact"/>
        <w:jc w:val="left"/>
        <w:rPr>
          <w:rFonts w:hint="default" w:ascii="Times New Roman" w:hAnsi="Times New Roman" w:eastAsia="仿宋_GB2312" w:cs="Times New Roman"/>
          <w:sz w:val="32"/>
          <w:szCs w:val="32"/>
        </w:rPr>
      </w:pPr>
    </w:p>
    <w:p>
      <w:pPr>
        <w:autoSpaceDE w:val="0"/>
        <w:autoSpaceDN w:val="0"/>
        <w:adjustRightInd w:val="0"/>
        <w:spacing w:line="600" w:lineRule="exact"/>
        <w:jc w:val="left"/>
        <w:rPr>
          <w:rFonts w:hint="default" w:ascii="Times New Roman" w:hAnsi="Times New Roman" w:eastAsia="仿宋_GB2312" w:cs="Times New Roman"/>
          <w:sz w:val="32"/>
          <w:szCs w:val="32"/>
        </w:rPr>
      </w:pPr>
    </w:p>
    <w:p>
      <w:pPr>
        <w:autoSpaceDE w:val="0"/>
        <w:autoSpaceDN w:val="0"/>
        <w:adjustRightInd w:val="0"/>
        <w:spacing w:line="600" w:lineRule="exact"/>
        <w:jc w:val="left"/>
        <w:rPr>
          <w:rFonts w:hint="default" w:ascii="Times New Roman" w:hAnsi="Times New Roman" w:eastAsia="仿宋_GB2312" w:cs="Times New Roman"/>
          <w:sz w:val="32"/>
          <w:szCs w:val="32"/>
        </w:rPr>
      </w:pPr>
    </w:p>
    <w:p>
      <w:pPr>
        <w:autoSpaceDE w:val="0"/>
        <w:autoSpaceDN w:val="0"/>
        <w:adjustRightInd w:val="0"/>
        <w:spacing w:line="600" w:lineRule="exact"/>
        <w:jc w:val="left"/>
        <w:rPr>
          <w:rFonts w:hint="default" w:ascii="Times New Roman" w:hAnsi="Times New Roman" w:eastAsia="仿宋_GB2312" w:cs="Times New Roman"/>
          <w:sz w:val="32"/>
          <w:szCs w:val="32"/>
        </w:rPr>
      </w:pPr>
    </w:p>
    <w:p>
      <w:pPr>
        <w:autoSpaceDE w:val="0"/>
        <w:autoSpaceDN w:val="0"/>
        <w:adjustRightInd w:val="0"/>
        <w:spacing w:line="600" w:lineRule="exact"/>
        <w:jc w:val="left"/>
        <w:rPr>
          <w:rFonts w:hint="default" w:ascii="Times New Roman" w:hAnsi="Times New Roman" w:eastAsia="仿宋_GB2312" w:cs="Times New Roman"/>
          <w:sz w:val="32"/>
          <w:szCs w:val="32"/>
        </w:rPr>
      </w:pPr>
    </w:p>
    <w:p>
      <w:pPr>
        <w:autoSpaceDE w:val="0"/>
        <w:autoSpaceDN w:val="0"/>
        <w:adjustRightInd w:val="0"/>
        <w:spacing w:line="600" w:lineRule="exact"/>
        <w:jc w:val="left"/>
        <w:rPr>
          <w:rFonts w:hint="default" w:ascii="Times New Roman" w:hAnsi="Times New Roman" w:eastAsia="仿宋_GB2312" w:cs="Times New Roman"/>
          <w:sz w:val="32"/>
          <w:szCs w:val="32"/>
        </w:rPr>
      </w:pPr>
    </w:p>
    <w:p>
      <w:pPr>
        <w:autoSpaceDE w:val="0"/>
        <w:autoSpaceDN w:val="0"/>
        <w:adjustRightInd w:val="0"/>
        <w:spacing w:line="600" w:lineRule="exact"/>
        <w:jc w:val="left"/>
        <w:rPr>
          <w:rFonts w:hint="default" w:ascii="Times New Roman" w:hAnsi="Times New Roman" w:eastAsia="仿宋_GB2312" w:cs="Times New Roman"/>
          <w:sz w:val="32"/>
          <w:szCs w:val="32"/>
        </w:rPr>
      </w:pPr>
    </w:p>
    <w:p>
      <w:pPr>
        <w:numPr>
          <w:ilvl w:val="0"/>
          <w:numId w:val="0"/>
        </w:numPr>
        <w:spacing w:line="600" w:lineRule="exact"/>
        <w:jc w:val="center"/>
        <w:outlineLvl w:val="0"/>
        <w:rPr>
          <w:rStyle w:val="25"/>
          <w:rFonts w:hint="default" w:ascii="Times New Roman" w:hAnsi="Times New Roman" w:eastAsia="黑体" w:cs="Times New Roman"/>
          <w:b w:val="0"/>
        </w:rPr>
      </w:pPr>
      <w:bookmarkStart w:id="56" w:name="_Toc15377225"/>
      <w:bookmarkStart w:id="57" w:name="_Toc51100215"/>
      <w:r>
        <w:rPr>
          <w:rFonts w:hint="default" w:ascii="Times New Roman" w:hAnsi="Times New Roman" w:eastAsia="黑体" w:cs="Times New Roman"/>
          <w:b w:val="0"/>
          <w:bCs/>
          <w:sz w:val="44"/>
          <w:szCs w:val="44"/>
          <w:lang w:eastAsia="zh-CN"/>
        </w:rPr>
        <w:t>第三部分</w:t>
      </w:r>
      <w:r>
        <w:rPr>
          <w:rFonts w:hint="default" w:ascii="Times New Roman" w:hAnsi="Times New Roman" w:eastAsia="黑体" w:cs="Times New Roman"/>
          <w:b w:val="0"/>
          <w:bCs/>
          <w:sz w:val="44"/>
          <w:szCs w:val="44"/>
          <w:lang w:val="en-US" w:eastAsia="zh-CN"/>
        </w:rPr>
        <w:t xml:space="preserve"> </w:t>
      </w:r>
      <w:r>
        <w:rPr>
          <w:rFonts w:hint="default" w:ascii="Times New Roman" w:hAnsi="Times New Roman" w:eastAsia="黑体" w:cs="Times New Roman"/>
          <w:b w:val="0"/>
          <w:bCs/>
          <w:sz w:val="44"/>
          <w:szCs w:val="44"/>
        </w:rPr>
        <w:t>名</w:t>
      </w:r>
      <w:r>
        <w:rPr>
          <w:rStyle w:val="25"/>
          <w:rFonts w:hint="default" w:ascii="Times New Roman" w:hAnsi="Times New Roman" w:eastAsia="黑体" w:cs="Times New Roman"/>
          <w:b w:val="0"/>
        </w:rPr>
        <w:t>词解释</w:t>
      </w:r>
      <w:bookmarkEnd w:id="56"/>
      <w:bookmarkEnd w:id="57"/>
    </w:p>
    <w:p>
      <w:pPr>
        <w:spacing w:line="600" w:lineRule="exact"/>
        <w:jc w:val="left"/>
        <w:rPr>
          <w:rFonts w:hint="default" w:ascii="Times New Roman" w:hAnsi="Times New Roman" w:cs="Times New Roman"/>
          <w:b/>
          <w:sz w:val="44"/>
          <w:szCs w:val="44"/>
        </w:rPr>
      </w:pPr>
    </w:p>
    <w:p>
      <w:pPr>
        <w:pStyle w:val="23"/>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1.财政拨款收入：指单位从同级财政部门取得的财政预算资金。</w:t>
      </w:r>
    </w:p>
    <w:p>
      <w:pPr>
        <w:pStyle w:val="23"/>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2.其他收入：指单位取得的除上述收入以外的各项收入。主要是银行利息收入。 </w:t>
      </w:r>
    </w:p>
    <w:p>
      <w:pPr>
        <w:pStyle w:val="23"/>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3.年初结转和结余：指以前年度尚未完成、结转到本年按有关规定继续使用的资金。 </w:t>
      </w:r>
    </w:p>
    <w:p>
      <w:pPr>
        <w:pStyle w:val="23"/>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4.年末结转和结余：指单位按有关规定结转到下年或以后年度继续使用的资金。</w:t>
      </w:r>
    </w:p>
    <w:p>
      <w:pPr>
        <w:spacing w:before="24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5.（1）行政运行、一般行政管理事务、档案馆、其他档案事务支出（项）：指保障单位正常运转所需的工资、津补贴及各项商品服务支出的运行经费。</w:t>
      </w:r>
    </w:p>
    <w:p>
      <w:pPr>
        <w:spacing w:before="24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（2）其他组织事务支出：指脱贫攻坚中的派驻贫困村第一书记及工作人员补助。</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6.（1）未归口的行政单位离退休、机关事业单位基本养老保险缴费支出、对机关事业单位基本养老保险基金的补助（项）：指退休人员的退休费及在职人员的养老保险费等支出。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（2）儿童福利：指关工委下达给我单位的关心下一代工作经费。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7.其他医疗卫生与计划生育支出：指退休厅级干部的健康体检费。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8.住房公积金：指单位为职工缴纳的住房公积金。</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9.基本支出：指为保障机构正常运转、完成日常工作任务而发生的人员支出和公用支出。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10.项目支出：指在基本支出之外为完成特定行政任务和事业发展目标所发生的支出。 </w:t>
      </w:r>
    </w:p>
    <w:p>
      <w:pPr>
        <w:pStyle w:val="23"/>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jc w:val="center"/>
        <w:rPr>
          <w:rStyle w:val="25"/>
          <w:rFonts w:hint="default" w:ascii="Times New Roman" w:hAnsi="Times New Roman" w:eastAsia="仿宋_GB2312" w:cs="Times New Roman"/>
          <w:b w:val="0"/>
          <w:bCs w:val="0"/>
          <w:color w:val="auto"/>
          <w:kern w:val="0"/>
          <w:sz w:val="32"/>
          <w:szCs w:val="32"/>
        </w:rPr>
      </w:pPr>
      <w:r>
        <w:rPr>
          <w:rFonts w:hint="default" w:ascii="Times New Roman" w:hAnsi="Times New Roman" w:eastAsia="仿宋" w:cs="Times New Roman"/>
          <w:color w:val="auto"/>
          <w:sz w:val="32"/>
          <w:szCs w:val="32"/>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8" w:name="_Toc15377226"/>
      <w:r>
        <w:rPr>
          <w:rFonts w:hint="default" w:ascii="Times New Roman" w:hAnsi="Times New Roman" w:eastAsia="仿宋" w:cs="Times New Roman"/>
          <w:b/>
          <w:sz w:val="32"/>
          <w:szCs w:val="32"/>
        </w:rPr>
        <w:br w:type="page"/>
      </w:r>
      <w:r>
        <w:rPr>
          <w:rFonts w:hint="default" w:ascii="Times New Roman" w:hAnsi="Times New Roman" w:eastAsia="黑体" w:cs="Times New Roman"/>
          <w:sz w:val="44"/>
          <w:szCs w:val="44"/>
        </w:rPr>
        <w:t>第</w:t>
      </w:r>
      <w:r>
        <w:rPr>
          <w:rStyle w:val="25"/>
          <w:rFonts w:hint="default" w:ascii="Times New Roman" w:hAnsi="Times New Roman" w:eastAsia="黑体" w:cs="Times New Roman"/>
          <w:b w:val="0"/>
        </w:rPr>
        <w:t>四部分 附件</w:t>
      </w:r>
    </w:p>
    <w:p>
      <w:pPr>
        <w:pStyle w:val="4"/>
        <w:rPr>
          <w:rStyle w:val="25"/>
          <w:rFonts w:hint="default" w:ascii="Times New Roman" w:hAnsi="Times New Roman" w:eastAsia="黑体" w:cs="Times New Roman"/>
          <w:b w:val="0"/>
          <w:bCs w:val="0"/>
          <w:sz w:val="32"/>
          <w:szCs w:val="32"/>
        </w:rPr>
      </w:pPr>
      <w:bookmarkStart w:id="59" w:name="_Toc51100216"/>
      <w:r>
        <w:rPr>
          <w:rStyle w:val="25"/>
          <w:rFonts w:hint="default" w:ascii="Times New Roman" w:hAnsi="Times New Roman" w:eastAsia="黑体" w:cs="Times New Roman"/>
          <w:b w:val="0"/>
          <w:bCs w:val="0"/>
          <w:sz w:val="32"/>
          <w:szCs w:val="32"/>
        </w:rPr>
        <w:t>附件1</w:t>
      </w:r>
      <w:bookmarkEnd w:id="59"/>
    </w:p>
    <w:p>
      <w:pPr>
        <w:spacing w:line="600" w:lineRule="exact"/>
        <w:jc w:val="center"/>
        <w:outlineLvl w:val="0"/>
        <w:rPr>
          <w:rFonts w:hint="default" w:ascii="Times New Roman" w:hAnsi="Times New Roman" w:eastAsia="黑体" w:cs="Times New Roman"/>
          <w:sz w:val="36"/>
          <w:szCs w:val="36"/>
        </w:rPr>
      </w:pPr>
      <w:bookmarkStart w:id="60" w:name="_Toc51100217"/>
      <w:bookmarkStart w:id="61" w:name="_Toc15396616"/>
      <w:r>
        <w:rPr>
          <w:rFonts w:hint="default" w:ascii="Times New Roman" w:hAnsi="Times New Roman" w:eastAsia="黑体" w:cs="Times New Roman"/>
          <w:sz w:val="36"/>
          <w:szCs w:val="36"/>
        </w:rPr>
        <w:t>攀枝花市档案馆</w:t>
      </w:r>
      <w:bookmarkEnd w:id="60"/>
    </w:p>
    <w:p>
      <w:pPr>
        <w:spacing w:line="600" w:lineRule="exact"/>
        <w:jc w:val="center"/>
        <w:outlineLvl w:val="0"/>
        <w:rPr>
          <w:rFonts w:hint="default" w:ascii="Times New Roman" w:hAnsi="Times New Roman" w:eastAsia="黑体" w:cs="Times New Roman"/>
          <w:sz w:val="36"/>
          <w:szCs w:val="36"/>
        </w:rPr>
      </w:pPr>
      <w:bookmarkStart w:id="62" w:name="_Toc51100218"/>
      <w:r>
        <w:rPr>
          <w:rFonts w:hint="default" w:ascii="Times New Roman" w:hAnsi="Times New Roman" w:eastAsia="黑体" w:cs="Times New Roman"/>
          <w:sz w:val="36"/>
          <w:szCs w:val="36"/>
        </w:rPr>
        <w:t>202</w:t>
      </w:r>
      <w:r>
        <w:rPr>
          <w:rFonts w:hint="default" w:ascii="Times New Roman" w:hAnsi="Times New Roman" w:eastAsia="黑体" w:cs="Times New Roman"/>
          <w:sz w:val="36"/>
          <w:szCs w:val="36"/>
          <w:lang w:val="en-US" w:eastAsia="zh-CN"/>
        </w:rPr>
        <w:t>1</w:t>
      </w:r>
      <w:r>
        <w:rPr>
          <w:rFonts w:hint="default" w:ascii="Times New Roman" w:hAnsi="Times New Roman" w:eastAsia="黑体" w:cs="Times New Roman"/>
          <w:sz w:val="36"/>
          <w:szCs w:val="36"/>
        </w:rPr>
        <w:t>年部门整体支出绩效评价报告</w:t>
      </w:r>
      <w:bookmarkEnd w:id="61"/>
      <w:bookmarkEnd w:id="62"/>
    </w:p>
    <w:p>
      <w:pPr>
        <w:spacing w:line="600" w:lineRule="exact"/>
        <w:jc w:val="center"/>
        <w:outlineLvl w:val="0"/>
        <w:rPr>
          <w:rFonts w:hint="default" w:ascii="Times New Roman" w:hAnsi="Times New Roman" w:eastAsia="黑体" w:cs="Times New Roman"/>
          <w:sz w:val="36"/>
          <w:szCs w:val="36"/>
        </w:rPr>
      </w:pP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一、部门（单位）概况</w:t>
      </w:r>
    </w:p>
    <w:p>
      <w:pPr>
        <w:snapToGrid w:val="0"/>
        <w:spacing w:line="588"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（一）机构组成</w:t>
      </w:r>
    </w:p>
    <w:p>
      <w:pPr>
        <w:snapToGrid w:val="0"/>
        <w:spacing w:line="58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设办公室、档案接收科、档案征集整理科、档案保管利用科、档案编研科、信息技术科、档案开发展览科（爱国主义教育基地工作科）、组织人事科8个科室。</w:t>
      </w:r>
    </w:p>
    <w:p>
      <w:pPr>
        <w:snapToGrid w:val="0"/>
        <w:spacing w:line="588"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（二）机构职能</w:t>
      </w:r>
    </w:p>
    <w:p>
      <w:pPr>
        <w:snapToGrid w:val="0"/>
        <w:spacing w:line="58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事业单位法人证书宗旨和业务范围的登记，攀枝花市档案馆（以下简称市档案馆）的职能有：收集保存提供利用档案资料，促进社会经济文化科学发展。（档案、资料）收集、整理、保管、鉴定；档案资料信息资源的开发利用；档案资料网络系统（设计、施工、维护、管理）；档案资料数字化处理；档案资料编纂；档案学研究；知识培训与社会教育。</w:t>
      </w:r>
    </w:p>
    <w:p>
      <w:pPr>
        <w:snapToGrid w:val="0"/>
        <w:spacing w:line="588"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lang w:eastAsia="zh-CN"/>
        </w:rPr>
        <w:t>（三）</w:t>
      </w:r>
      <w:r>
        <w:rPr>
          <w:rFonts w:hint="default" w:ascii="Times New Roman" w:hAnsi="Times New Roman" w:eastAsia="楷体" w:cs="Times New Roman"/>
          <w:sz w:val="32"/>
          <w:szCs w:val="32"/>
        </w:rPr>
        <w:t>人员概况</w:t>
      </w:r>
    </w:p>
    <w:p>
      <w:pPr>
        <w:snapToGrid w:val="0"/>
        <w:spacing w:line="588"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按照《中共攀枝花市委机构编制委员会关于明确攀枝花市档案馆有关机构编制事项的通知》（攀编发〔2019〕12号）和《中共攀枝花市委机构编制委员会关于调整攀枝花市档案馆有关机构编制事项的通知》（攀编办〔2019〕51号）文件明确，市档案馆人员编制核定为28名，内设机构为8个。截至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年底，市档案馆实有在编人数2</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名</w:t>
      </w:r>
      <w:r>
        <w:rPr>
          <w:rFonts w:hint="default" w:ascii="Times New Roman" w:hAnsi="Times New Roman" w:eastAsia="仿宋" w:cs="Times New Roman"/>
          <w:sz w:val="32"/>
          <w:szCs w:val="32"/>
          <w:lang w:eastAsia="zh-CN"/>
        </w:rPr>
        <w:t>（超编</w:t>
      </w:r>
      <w:r>
        <w:rPr>
          <w:rFonts w:hint="default" w:ascii="Times New Roman" w:hAnsi="Times New Roman" w:eastAsia="仿宋" w:cs="Times New Roman"/>
          <w:sz w:val="32"/>
          <w:szCs w:val="32"/>
          <w:lang w:val="en-US" w:eastAsia="zh-CN"/>
        </w:rPr>
        <w:t>1名</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，其中机关工勤人员1名，根据86号文编内聘用人员1名。</w:t>
      </w:r>
    </w:p>
    <w:p>
      <w:pPr>
        <w:snapToGrid w:val="0"/>
        <w:spacing w:line="588" w:lineRule="exact"/>
        <w:ind w:firstLine="480" w:firstLineChars="1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二、部门财政资金收支情况</w:t>
      </w:r>
    </w:p>
    <w:p>
      <w:pPr>
        <w:spacing w:line="580"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（一）部门财政资金收入情况</w:t>
      </w:r>
    </w:p>
    <w:p>
      <w:pPr>
        <w:pStyle w:val="7"/>
        <w:spacing w:line="600" w:lineRule="exact"/>
        <w:ind w:firstLine="640" w:firstLineChars="200"/>
        <w:rPr>
          <w:rFonts w:hint="default" w:ascii="Times New Roman" w:hAnsi="Times New Roman" w:eastAsia="仿宋" w:cs="Times New Roman"/>
          <w:sz w:val="32"/>
          <w:szCs w:val="32"/>
          <w:lang w:bidi="ar-SA"/>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年市档案馆财政预算收入为</w:t>
      </w:r>
      <w:r>
        <w:rPr>
          <w:rFonts w:hint="default" w:ascii="Times New Roman" w:hAnsi="Times New Roman" w:eastAsia="仿宋" w:cs="Times New Roman"/>
          <w:sz w:val="32"/>
          <w:szCs w:val="32"/>
          <w:lang w:val="en-US" w:eastAsia="zh-CN" w:bidi="ar-SA"/>
        </w:rPr>
        <w:t>8184716.18</w:t>
      </w:r>
      <w:r>
        <w:rPr>
          <w:rFonts w:hint="default" w:ascii="Times New Roman" w:hAnsi="Times New Roman" w:eastAsia="仿宋" w:cs="Times New Roman"/>
          <w:sz w:val="32"/>
          <w:szCs w:val="32"/>
        </w:rPr>
        <w:t>元。其中年初安排预算收入</w:t>
      </w:r>
      <w:r>
        <w:rPr>
          <w:rFonts w:hint="default" w:ascii="Times New Roman" w:hAnsi="Times New Roman" w:eastAsia="仿宋" w:cs="Times New Roman"/>
          <w:sz w:val="32"/>
          <w:szCs w:val="32"/>
          <w:lang w:val="en-US" w:eastAsia="zh-CN" w:bidi="ar-SA"/>
        </w:rPr>
        <w:t>6382607.96</w:t>
      </w:r>
      <w:r>
        <w:rPr>
          <w:rFonts w:hint="default" w:ascii="Times New Roman" w:hAnsi="Times New Roman" w:eastAsia="仿宋" w:cs="Times New Roman"/>
          <w:sz w:val="32"/>
          <w:szCs w:val="32"/>
        </w:rPr>
        <w:t>元；追加</w:t>
      </w:r>
      <w:r>
        <w:rPr>
          <w:rFonts w:hint="default" w:ascii="Times New Roman" w:hAnsi="Times New Roman" w:eastAsia="仿宋" w:cs="Times New Roman"/>
          <w:sz w:val="32"/>
          <w:szCs w:val="32"/>
          <w:lang w:eastAsia="zh-CN"/>
        </w:rPr>
        <w:t>五</w:t>
      </w:r>
      <w:r>
        <w:rPr>
          <w:rFonts w:hint="default" w:ascii="Times New Roman" w:hAnsi="Times New Roman" w:eastAsia="仿宋" w:cs="Times New Roman"/>
          <w:sz w:val="32"/>
          <w:szCs w:val="32"/>
        </w:rPr>
        <w:t>项预算：</w:t>
      </w:r>
      <w:r>
        <w:rPr>
          <w:rFonts w:hint="default" w:ascii="Times New Roman" w:hAnsi="Times New Roman" w:eastAsia="仿宋" w:cs="Times New Roman"/>
          <w:b/>
          <w:bCs/>
          <w:sz w:val="32"/>
          <w:szCs w:val="32"/>
          <w:lang w:bidi="ar-SA"/>
        </w:rPr>
        <w:t>一是</w:t>
      </w:r>
      <w:r>
        <w:rPr>
          <w:rFonts w:hint="default" w:ascii="Times New Roman" w:hAnsi="Times New Roman" w:eastAsia="仿宋" w:cs="Times New Roman"/>
          <w:sz w:val="32"/>
          <w:szCs w:val="32"/>
          <w:lang w:bidi="ar-SA"/>
        </w:rPr>
        <w:t>下达《</w:t>
      </w:r>
      <w:r>
        <w:rPr>
          <w:rFonts w:hint="default" w:ascii="Times New Roman" w:hAnsi="Times New Roman" w:eastAsia="仿宋" w:cs="Times New Roman"/>
          <w:sz w:val="32"/>
          <w:szCs w:val="32"/>
          <w:lang w:eastAsia="zh-CN" w:bidi="ar-SA"/>
        </w:rPr>
        <w:t>李国超艺术档案征集</w:t>
      </w:r>
      <w:r>
        <w:rPr>
          <w:rFonts w:hint="default" w:ascii="Times New Roman" w:hAnsi="Times New Roman" w:eastAsia="仿宋" w:cs="Times New Roman"/>
          <w:sz w:val="32"/>
          <w:szCs w:val="32"/>
          <w:lang w:bidi="ar-SA"/>
        </w:rPr>
        <w:t>》经费489522.33元，主要用于</w:t>
      </w:r>
      <w:r>
        <w:rPr>
          <w:rFonts w:hint="default" w:ascii="Times New Roman" w:hAnsi="Times New Roman" w:eastAsia="仿宋" w:cs="Times New Roman"/>
          <w:sz w:val="32"/>
          <w:szCs w:val="32"/>
          <w:lang w:eastAsia="zh-CN" w:bidi="ar-SA"/>
        </w:rPr>
        <w:t>李国超艺术档案征集、装裱、数字化及书画艺术作品</w:t>
      </w:r>
      <w:r>
        <w:rPr>
          <w:rFonts w:hint="default" w:ascii="Times New Roman" w:hAnsi="Times New Roman" w:eastAsia="仿宋" w:cs="Times New Roman"/>
          <w:sz w:val="32"/>
          <w:szCs w:val="32"/>
          <w:lang w:bidi="ar-SA"/>
        </w:rPr>
        <w:t>展厅建设，202</w:t>
      </w:r>
      <w:r>
        <w:rPr>
          <w:rFonts w:hint="default" w:ascii="Times New Roman" w:hAnsi="Times New Roman" w:eastAsia="仿宋" w:cs="Times New Roman"/>
          <w:sz w:val="32"/>
          <w:szCs w:val="32"/>
          <w:lang w:val="en-US" w:eastAsia="zh-CN" w:bidi="ar-SA"/>
        </w:rPr>
        <w:t>1</w:t>
      </w:r>
      <w:r>
        <w:rPr>
          <w:rFonts w:hint="default" w:ascii="Times New Roman" w:hAnsi="Times New Roman" w:eastAsia="仿宋" w:cs="Times New Roman"/>
          <w:sz w:val="32"/>
          <w:szCs w:val="32"/>
          <w:lang w:bidi="ar-SA"/>
        </w:rPr>
        <w:t>年已全部使用；</w:t>
      </w:r>
      <w:r>
        <w:rPr>
          <w:rFonts w:hint="default" w:ascii="Times New Roman" w:hAnsi="Times New Roman" w:eastAsia="仿宋" w:cs="Times New Roman"/>
          <w:b/>
          <w:bCs/>
          <w:sz w:val="32"/>
          <w:szCs w:val="32"/>
          <w:lang w:bidi="ar-SA"/>
        </w:rPr>
        <w:t>二是</w:t>
      </w:r>
      <w:r>
        <w:rPr>
          <w:rFonts w:hint="default" w:ascii="Times New Roman" w:hAnsi="Times New Roman" w:eastAsia="仿宋" w:cs="Times New Roman"/>
          <w:sz w:val="32"/>
          <w:szCs w:val="32"/>
          <w:lang w:bidi="ar-SA"/>
        </w:rPr>
        <w:t>下达202</w:t>
      </w:r>
      <w:r>
        <w:rPr>
          <w:rFonts w:hint="default" w:ascii="Times New Roman" w:hAnsi="Times New Roman" w:eastAsia="仿宋" w:cs="Times New Roman"/>
          <w:sz w:val="32"/>
          <w:szCs w:val="32"/>
          <w:lang w:val="en-US" w:eastAsia="zh-CN" w:bidi="ar-SA"/>
        </w:rPr>
        <w:t>1</w:t>
      </w:r>
      <w:r>
        <w:rPr>
          <w:rFonts w:hint="default" w:ascii="Times New Roman" w:hAnsi="Times New Roman" w:eastAsia="仿宋" w:cs="Times New Roman"/>
          <w:sz w:val="32"/>
          <w:szCs w:val="32"/>
          <w:lang w:bidi="ar-SA"/>
        </w:rPr>
        <w:t>年度市级挂职干部（人才）补助专项经费</w:t>
      </w:r>
      <w:r>
        <w:rPr>
          <w:rFonts w:hint="default" w:ascii="Times New Roman" w:hAnsi="Times New Roman" w:eastAsia="仿宋" w:cs="Times New Roman"/>
          <w:sz w:val="32"/>
          <w:szCs w:val="32"/>
          <w:lang w:val="en-US" w:eastAsia="zh-CN" w:bidi="ar-SA"/>
        </w:rPr>
        <w:t>22564.5</w:t>
      </w:r>
      <w:r>
        <w:rPr>
          <w:rFonts w:hint="default" w:ascii="Times New Roman" w:hAnsi="Times New Roman" w:eastAsia="仿宋" w:cs="Times New Roman"/>
          <w:sz w:val="32"/>
          <w:szCs w:val="32"/>
          <w:lang w:bidi="ar-SA"/>
        </w:rPr>
        <w:t>元，已全部用于挂职干部的补助发放；</w:t>
      </w:r>
      <w:r>
        <w:rPr>
          <w:rFonts w:hint="default" w:ascii="Times New Roman" w:hAnsi="Times New Roman" w:eastAsia="仿宋" w:cs="Times New Roman"/>
          <w:b/>
          <w:bCs/>
          <w:sz w:val="32"/>
          <w:szCs w:val="32"/>
          <w:lang w:bidi="ar-SA"/>
        </w:rPr>
        <w:t>三是</w:t>
      </w:r>
      <w:r>
        <w:rPr>
          <w:rFonts w:hint="default" w:ascii="Times New Roman" w:hAnsi="Times New Roman" w:eastAsia="仿宋" w:cs="Times New Roman"/>
          <w:sz w:val="32"/>
          <w:szCs w:val="32"/>
          <w:lang w:bidi="ar-SA"/>
        </w:rPr>
        <w:t>下达</w:t>
      </w:r>
      <w:r>
        <w:rPr>
          <w:rFonts w:hint="default" w:ascii="Times New Roman" w:hAnsi="Times New Roman" w:eastAsia="仿宋" w:cs="Times New Roman"/>
          <w:sz w:val="32"/>
          <w:szCs w:val="32"/>
          <w:lang w:eastAsia="zh-CN" w:bidi="ar-SA"/>
        </w:rPr>
        <w:t>中人一次性补贴</w:t>
      </w:r>
      <w:r>
        <w:rPr>
          <w:rFonts w:hint="default" w:ascii="Times New Roman" w:hAnsi="Times New Roman" w:eastAsia="仿宋" w:cs="Times New Roman"/>
          <w:sz w:val="32"/>
          <w:szCs w:val="32"/>
          <w:lang w:val="en-US" w:eastAsia="zh-CN" w:bidi="ar-SA"/>
        </w:rPr>
        <w:t>114072.00</w:t>
      </w:r>
      <w:r>
        <w:rPr>
          <w:rFonts w:hint="default" w:ascii="Times New Roman" w:hAnsi="Times New Roman" w:eastAsia="仿宋" w:cs="Times New Roman"/>
          <w:sz w:val="32"/>
          <w:szCs w:val="32"/>
          <w:lang w:bidi="ar-SA"/>
        </w:rPr>
        <w:t>元，已全部用于</w:t>
      </w:r>
      <w:r>
        <w:rPr>
          <w:rFonts w:hint="default" w:ascii="Times New Roman" w:hAnsi="Times New Roman" w:eastAsia="仿宋" w:cs="Times New Roman"/>
          <w:sz w:val="32"/>
          <w:szCs w:val="32"/>
          <w:lang w:eastAsia="zh-CN" w:bidi="ar-SA"/>
        </w:rPr>
        <w:t>发放中人一次性补贴</w:t>
      </w:r>
      <w:r>
        <w:rPr>
          <w:rFonts w:hint="default" w:ascii="Times New Roman" w:hAnsi="Times New Roman" w:eastAsia="仿宋" w:cs="Times New Roman"/>
          <w:sz w:val="32"/>
          <w:szCs w:val="32"/>
          <w:lang w:bidi="ar-SA"/>
        </w:rPr>
        <w:t>；</w:t>
      </w:r>
      <w:r>
        <w:rPr>
          <w:rFonts w:hint="default" w:ascii="Times New Roman" w:hAnsi="Times New Roman" w:eastAsia="仿宋" w:cs="Times New Roman"/>
          <w:b/>
          <w:bCs/>
          <w:sz w:val="32"/>
          <w:szCs w:val="32"/>
          <w:lang w:bidi="ar-SA"/>
        </w:rPr>
        <w:t>四是</w:t>
      </w:r>
      <w:r>
        <w:rPr>
          <w:rFonts w:hint="default" w:ascii="Times New Roman" w:hAnsi="Times New Roman" w:eastAsia="仿宋" w:cs="Times New Roman"/>
          <w:sz w:val="32"/>
          <w:szCs w:val="32"/>
          <w:lang w:bidi="ar-SA"/>
        </w:rPr>
        <w:t>下达事业人员丧葬抚恤费</w:t>
      </w:r>
      <w:r>
        <w:rPr>
          <w:rFonts w:hint="default" w:ascii="Times New Roman" w:hAnsi="Times New Roman" w:eastAsia="仿宋" w:cs="Times New Roman"/>
          <w:sz w:val="32"/>
          <w:szCs w:val="32"/>
          <w:lang w:val="en-US" w:eastAsia="zh-CN" w:bidi="ar-SA"/>
        </w:rPr>
        <w:t>472701.00</w:t>
      </w:r>
      <w:r>
        <w:rPr>
          <w:rFonts w:hint="default" w:ascii="Times New Roman" w:hAnsi="Times New Roman" w:eastAsia="仿宋" w:cs="Times New Roman"/>
          <w:sz w:val="32"/>
          <w:szCs w:val="32"/>
          <w:lang w:bidi="ar-SA"/>
        </w:rPr>
        <w:t>元，已全部用于死亡职工抚恤；</w:t>
      </w:r>
      <w:r>
        <w:rPr>
          <w:rFonts w:hint="default" w:ascii="Times New Roman" w:hAnsi="Times New Roman" w:eastAsia="仿宋" w:cs="Times New Roman"/>
          <w:b/>
          <w:bCs/>
          <w:sz w:val="32"/>
          <w:szCs w:val="32"/>
          <w:lang w:eastAsia="zh-CN" w:bidi="ar-SA"/>
        </w:rPr>
        <w:t>五</w:t>
      </w:r>
      <w:r>
        <w:rPr>
          <w:rFonts w:hint="default" w:ascii="Times New Roman" w:hAnsi="Times New Roman" w:eastAsia="仿宋" w:cs="Times New Roman"/>
          <w:b/>
          <w:bCs/>
          <w:sz w:val="32"/>
          <w:szCs w:val="32"/>
          <w:lang w:bidi="ar-SA"/>
        </w:rPr>
        <w:t>是</w:t>
      </w:r>
      <w:r>
        <w:rPr>
          <w:rFonts w:hint="default" w:ascii="Times New Roman" w:hAnsi="Times New Roman" w:eastAsia="仿宋" w:cs="Times New Roman"/>
          <w:sz w:val="32"/>
          <w:szCs w:val="32"/>
          <w:lang w:bidi="ar-SA"/>
        </w:rPr>
        <w:t>下达增人增资和目标奖合计</w:t>
      </w:r>
      <w:r>
        <w:rPr>
          <w:rFonts w:hint="default" w:ascii="Times New Roman" w:hAnsi="Times New Roman" w:eastAsia="仿宋" w:cs="Times New Roman"/>
          <w:sz w:val="32"/>
          <w:szCs w:val="32"/>
          <w:lang w:val="en-US" w:eastAsia="zh-CN" w:bidi="ar-SA"/>
        </w:rPr>
        <w:t>213726.06</w:t>
      </w:r>
      <w:r>
        <w:rPr>
          <w:rFonts w:hint="default" w:ascii="Times New Roman" w:hAnsi="Times New Roman" w:eastAsia="仿宋" w:cs="Times New Roman"/>
          <w:sz w:val="32"/>
          <w:szCs w:val="32"/>
          <w:lang w:bidi="ar-SA"/>
        </w:rPr>
        <w:t>元，全部用于人员工资和目标奖发放。</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（二）部门财政资金支出情况</w:t>
      </w:r>
    </w:p>
    <w:p>
      <w:pPr>
        <w:snapToGrid w:val="0"/>
        <w:spacing w:line="58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年市档案馆财政拨款支出为</w:t>
      </w:r>
      <w:r>
        <w:rPr>
          <w:rFonts w:hint="default" w:ascii="Times New Roman" w:hAnsi="Times New Roman" w:eastAsia="仿宋" w:cs="Times New Roman"/>
          <w:sz w:val="32"/>
          <w:szCs w:val="32"/>
          <w:lang w:val="en-US" w:eastAsia="zh-CN"/>
        </w:rPr>
        <w:t>8184716.18</w:t>
      </w:r>
      <w:r>
        <w:rPr>
          <w:rFonts w:hint="default" w:ascii="Times New Roman" w:hAnsi="Times New Roman" w:eastAsia="仿宋" w:cs="Times New Roman"/>
          <w:sz w:val="32"/>
          <w:szCs w:val="32"/>
        </w:rPr>
        <w:t>元，其中使用本年财政拨款收入支出</w:t>
      </w:r>
      <w:r>
        <w:rPr>
          <w:rFonts w:hint="default" w:ascii="Times New Roman" w:hAnsi="Times New Roman" w:eastAsia="仿宋" w:cs="Times New Roman"/>
          <w:sz w:val="32"/>
          <w:szCs w:val="32"/>
          <w:lang w:val="en-US" w:eastAsia="zh-CN"/>
        </w:rPr>
        <w:t>8184716.18</w:t>
      </w:r>
      <w:r>
        <w:rPr>
          <w:rFonts w:hint="default" w:ascii="Times New Roman" w:hAnsi="Times New Roman" w:eastAsia="仿宋" w:cs="Times New Roman"/>
          <w:sz w:val="32"/>
          <w:szCs w:val="32"/>
        </w:rPr>
        <w:t>元。</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三、部门整体预算绩效管理情况</w:t>
      </w:r>
    </w:p>
    <w:p>
      <w:pPr>
        <w:spacing w:line="580"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（一）部门预算管理</w:t>
      </w:r>
    </w:p>
    <w:p>
      <w:pPr>
        <w:snapToGrid w:val="0"/>
        <w:spacing w:line="58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eastAsia" w:eastAsia="仿宋" w:cs="Times New Roman"/>
          <w:sz w:val="32"/>
          <w:szCs w:val="32"/>
          <w:lang w:val="en-US" w:eastAsia="zh-CN"/>
        </w:rPr>
        <w:t>1</w:t>
      </w:r>
      <w:r>
        <w:rPr>
          <w:rFonts w:hint="default" w:ascii="Times New Roman" w:hAnsi="Times New Roman" w:eastAsia="仿宋" w:cs="Times New Roman"/>
          <w:sz w:val="32"/>
          <w:szCs w:val="32"/>
        </w:rPr>
        <w:t>年全年部门预算收入</w:t>
      </w:r>
      <w:r>
        <w:rPr>
          <w:rFonts w:hint="default" w:ascii="Times New Roman" w:hAnsi="Times New Roman" w:eastAsia="仿宋" w:cs="Times New Roman"/>
          <w:sz w:val="32"/>
          <w:szCs w:val="32"/>
          <w:lang w:val="en-US" w:eastAsia="zh-CN"/>
        </w:rPr>
        <w:t>8184716.18</w:t>
      </w:r>
      <w:r>
        <w:rPr>
          <w:rFonts w:hint="default" w:ascii="Times New Roman" w:hAnsi="Times New Roman" w:eastAsia="仿宋" w:cs="Times New Roman"/>
          <w:sz w:val="32"/>
          <w:szCs w:val="32"/>
        </w:rPr>
        <w:t>元，全年实现支出</w:t>
      </w:r>
      <w:r>
        <w:rPr>
          <w:rFonts w:hint="default" w:ascii="Times New Roman" w:hAnsi="Times New Roman" w:eastAsia="仿宋" w:cs="Times New Roman"/>
          <w:sz w:val="32"/>
          <w:szCs w:val="32"/>
          <w:lang w:val="en-US" w:eastAsia="zh-CN"/>
        </w:rPr>
        <w:t>8272436.68</w:t>
      </w:r>
      <w:r>
        <w:rPr>
          <w:rFonts w:hint="default" w:ascii="Times New Roman" w:hAnsi="Times New Roman" w:eastAsia="仿宋" w:cs="Times New Roman"/>
          <w:sz w:val="32"/>
          <w:szCs w:val="32"/>
        </w:rPr>
        <w:t>元（含上年非财政补助结转资金基本支出</w:t>
      </w:r>
      <w:r>
        <w:rPr>
          <w:rFonts w:hint="default" w:ascii="Times New Roman" w:hAnsi="Times New Roman" w:eastAsia="仿宋" w:cs="Times New Roman"/>
          <w:sz w:val="32"/>
          <w:szCs w:val="32"/>
          <w:lang w:val="en-US" w:eastAsia="zh-CN"/>
        </w:rPr>
        <w:t>87720.5</w:t>
      </w:r>
      <w:r>
        <w:rPr>
          <w:rFonts w:hint="default" w:ascii="Times New Roman" w:hAnsi="Times New Roman" w:eastAsia="仿宋" w:cs="Times New Roman"/>
          <w:sz w:val="32"/>
          <w:szCs w:val="32"/>
        </w:rPr>
        <w:t>元），完成全年资金计划的101.</w:t>
      </w:r>
      <w:r>
        <w:rPr>
          <w:rFonts w:hint="default" w:ascii="Times New Roman" w:hAnsi="Times New Roman" w:eastAsia="仿宋" w:cs="Times New Roman"/>
          <w:sz w:val="32"/>
          <w:szCs w:val="32"/>
          <w:lang w:val="en-US" w:eastAsia="zh-CN"/>
        </w:rPr>
        <w:t>07</w:t>
      </w:r>
      <w:r>
        <w:rPr>
          <w:rFonts w:hint="default" w:ascii="Times New Roman" w:hAnsi="Times New Roman" w:eastAsia="仿宋" w:cs="Times New Roman"/>
          <w:sz w:val="32"/>
          <w:szCs w:val="32"/>
        </w:rPr>
        <w:t>%。</w:t>
      </w:r>
    </w:p>
    <w:p>
      <w:pPr>
        <w:adjustRightInd w:val="0"/>
        <w:snapToGrid w:val="0"/>
        <w:spacing w:line="56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1.年初部门预算基本支出安排及使用情况。</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年初共安排基本支出预算</w:t>
      </w:r>
      <w:r>
        <w:rPr>
          <w:rFonts w:hint="default" w:ascii="Times New Roman" w:hAnsi="Times New Roman" w:eastAsia="仿宋" w:cs="Times New Roman"/>
          <w:sz w:val="33"/>
          <w:szCs w:val="33"/>
          <w:lang w:val="en-US" w:eastAsia="zh-CN" w:bidi="ar-SA"/>
        </w:rPr>
        <w:t>6051907.96</w:t>
      </w:r>
      <w:r>
        <w:rPr>
          <w:rFonts w:hint="default" w:ascii="Times New Roman" w:hAnsi="Times New Roman" w:eastAsia="仿宋" w:cs="Times New Roman"/>
          <w:sz w:val="32"/>
          <w:szCs w:val="32"/>
        </w:rPr>
        <w:t>元，实际支出</w:t>
      </w:r>
      <w:r>
        <w:rPr>
          <w:rFonts w:hint="default" w:ascii="Times New Roman" w:hAnsi="Times New Roman" w:eastAsia="仿宋" w:cs="Times New Roman"/>
          <w:sz w:val="33"/>
          <w:szCs w:val="33"/>
          <w:lang w:val="en-US" w:eastAsia="zh-CN" w:bidi="ar-SA"/>
        </w:rPr>
        <w:t>6051907.96</w:t>
      </w:r>
      <w:r>
        <w:rPr>
          <w:rFonts w:hint="default" w:ascii="Times New Roman" w:hAnsi="Times New Roman" w:eastAsia="仿宋" w:cs="Times New Roman"/>
          <w:sz w:val="32"/>
          <w:szCs w:val="32"/>
        </w:rPr>
        <w:t>元。主要用于维持单位正常运转的人员工资、福利待遇的发放和单位水电费、差旅费、公务接待费等公用经费方面的支出，有效保证了市档案馆机构的正常、有序运转和基本职能的实现。</w:t>
      </w:r>
    </w:p>
    <w:p>
      <w:pPr>
        <w:widowControl/>
        <w:shd w:val="clear" w:color="auto" w:fill="auto"/>
        <w:snapToGrid w:val="0"/>
        <w:spacing w:line="576"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2.年初部门预算项目安排及支出情况。</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年初共安排项目支出预算</w:t>
      </w:r>
      <w:r>
        <w:rPr>
          <w:rFonts w:hint="default" w:ascii="Times New Roman" w:hAnsi="Times New Roman" w:eastAsia="仿宋" w:cs="Times New Roman"/>
          <w:sz w:val="33"/>
          <w:szCs w:val="33"/>
          <w:lang w:val="en-US" w:eastAsia="zh-CN" w:bidi="ar-SA"/>
        </w:rPr>
        <w:t>330700</w:t>
      </w:r>
      <w:r>
        <w:rPr>
          <w:rFonts w:hint="default" w:ascii="Times New Roman" w:hAnsi="Times New Roman" w:eastAsia="仿宋" w:cs="Times New Roman"/>
          <w:sz w:val="33"/>
          <w:szCs w:val="33"/>
          <w:lang w:bidi="ar-SA"/>
        </w:rPr>
        <w:t>元，实际支出</w:t>
      </w:r>
      <w:r>
        <w:rPr>
          <w:rFonts w:hint="default" w:ascii="Times New Roman" w:hAnsi="Times New Roman" w:eastAsia="仿宋" w:cs="Times New Roman"/>
          <w:sz w:val="33"/>
          <w:szCs w:val="33"/>
          <w:lang w:val="en-US" w:eastAsia="zh-CN" w:bidi="ar-SA"/>
        </w:rPr>
        <w:t>330700</w:t>
      </w:r>
      <w:r>
        <w:rPr>
          <w:rFonts w:hint="default" w:ascii="Times New Roman" w:hAnsi="Times New Roman" w:eastAsia="仿宋" w:cs="Times New Roman"/>
          <w:sz w:val="33"/>
          <w:szCs w:val="33"/>
          <w:lang w:bidi="ar-SA"/>
        </w:rPr>
        <w:t>元</w:t>
      </w:r>
      <w:r>
        <w:rPr>
          <w:rFonts w:hint="default" w:ascii="Times New Roman" w:hAnsi="Times New Roman" w:eastAsia="仿宋" w:cs="Times New Roman"/>
          <w:sz w:val="32"/>
          <w:szCs w:val="32"/>
        </w:rPr>
        <w:t>。主要用于馆藏28</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个全宗，</w:t>
      </w:r>
      <w:r>
        <w:rPr>
          <w:rFonts w:hint="default" w:ascii="Times New Roman" w:hAnsi="Times New Roman" w:eastAsia="仿宋" w:cs="Times New Roman"/>
          <w:sz w:val="33"/>
          <w:szCs w:val="33"/>
          <w:lang w:bidi="ar-SA"/>
        </w:rPr>
        <w:t>馆藏纸质档案335193卷，366170件，声像档案2941盘，照片档案64109张，实物档案2685件，图书资料26731册等档案的安全保护、</w:t>
      </w:r>
      <w:r>
        <w:rPr>
          <w:rFonts w:hint="default" w:ascii="Times New Roman" w:hAnsi="Times New Roman" w:eastAsia="仿宋" w:cs="Times New Roman"/>
          <w:sz w:val="33"/>
          <w:szCs w:val="33"/>
          <w:lang w:eastAsia="zh-CN" w:bidi="ar-SA"/>
        </w:rPr>
        <w:t>安全维保、</w:t>
      </w:r>
      <w:r>
        <w:rPr>
          <w:rFonts w:hint="default" w:ascii="Times New Roman" w:hAnsi="Times New Roman" w:eastAsia="仿宋" w:cs="Times New Roman"/>
          <w:sz w:val="33"/>
          <w:szCs w:val="33"/>
          <w:lang w:bidi="ar-SA"/>
        </w:rPr>
        <w:t>查阅利用及</w:t>
      </w:r>
      <w:r>
        <w:rPr>
          <w:rFonts w:hint="default" w:ascii="Times New Roman" w:hAnsi="Times New Roman" w:eastAsia="仿宋" w:cs="Times New Roman"/>
          <w:sz w:val="33"/>
          <w:szCs w:val="33"/>
          <w:lang w:eastAsia="zh-CN" w:bidi="ar-SA"/>
        </w:rPr>
        <w:t>市档案馆机房搬迁及改造项目</w:t>
      </w:r>
      <w:r>
        <w:rPr>
          <w:rFonts w:hint="default" w:ascii="Times New Roman" w:hAnsi="Times New Roman" w:eastAsia="仿宋" w:cs="Times New Roman"/>
          <w:sz w:val="32"/>
          <w:szCs w:val="32"/>
        </w:rPr>
        <w:t>。</w:t>
      </w:r>
    </w:p>
    <w:p>
      <w:pPr>
        <w:pStyle w:val="7"/>
        <w:spacing w:line="600" w:lineRule="exact"/>
        <w:ind w:firstLine="642" w:firstLineChars="200"/>
        <w:rPr>
          <w:rFonts w:hint="default" w:ascii="Times New Roman" w:hAnsi="Times New Roman" w:eastAsia="仿宋" w:cs="Times New Roman"/>
          <w:sz w:val="33"/>
          <w:szCs w:val="33"/>
          <w:lang w:bidi="ar-SA"/>
        </w:rPr>
      </w:pPr>
      <w:r>
        <w:rPr>
          <w:rFonts w:hint="default" w:ascii="Times New Roman" w:hAnsi="Times New Roman" w:eastAsia="仿宋" w:cs="Times New Roman"/>
          <w:b/>
          <w:color w:val="auto"/>
          <w:sz w:val="32"/>
          <w:szCs w:val="32"/>
        </w:rPr>
        <w:t>3.追加预算安排及支出情况。</w:t>
      </w:r>
      <w:r>
        <w:rPr>
          <w:rFonts w:hint="default" w:ascii="Times New Roman" w:hAnsi="Times New Roman" w:eastAsia="仿宋" w:cs="Times New Roman"/>
          <w:color w:val="auto"/>
          <w:sz w:val="33"/>
          <w:szCs w:val="33"/>
          <w:lang w:bidi="ar-SA"/>
        </w:rPr>
        <w:t>20</w:t>
      </w:r>
      <w:r>
        <w:rPr>
          <w:rFonts w:hint="default" w:ascii="Times New Roman" w:hAnsi="Times New Roman" w:eastAsia="仿宋" w:cs="Times New Roman"/>
          <w:sz w:val="33"/>
          <w:szCs w:val="33"/>
          <w:lang w:bidi="ar-SA"/>
        </w:rPr>
        <w:t>2</w:t>
      </w:r>
      <w:r>
        <w:rPr>
          <w:rFonts w:hint="default" w:ascii="Times New Roman" w:hAnsi="Times New Roman" w:eastAsia="仿宋" w:cs="Times New Roman"/>
          <w:sz w:val="33"/>
          <w:szCs w:val="33"/>
          <w:lang w:val="en-US" w:eastAsia="zh-CN" w:bidi="ar-SA"/>
        </w:rPr>
        <w:t>1</w:t>
      </w:r>
      <w:r>
        <w:rPr>
          <w:rFonts w:hint="default" w:ascii="Times New Roman" w:hAnsi="Times New Roman" w:eastAsia="仿宋" w:cs="Times New Roman"/>
          <w:sz w:val="33"/>
          <w:szCs w:val="33"/>
          <w:lang w:bidi="ar-SA"/>
        </w:rPr>
        <w:t>年，市档案馆共追加</w:t>
      </w:r>
      <w:r>
        <w:rPr>
          <w:rFonts w:hint="default" w:ascii="Times New Roman" w:hAnsi="Times New Roman" w:eastAsia="仿宋" w:cs="Times New Roman"/>
          <w:sz w:val="33"/>
          <w:szCs w:val="33"/>
          <w:lang w:val="en-US" w:eastAsia="zh-CN" w:bidi="ar-SA"/>
        </w:rPr>
        <w:t>五</w:t>
      </w:r>
      <w:r>
        <w:rPr>
          <w:rFonts w:hint="default" w:ascii="Times New Roman" w:hAnsi="Times New Roman" w:eastAsia="仿宋" w:cs="Times New Roman"/>
          <w:sz w:val="33"/>
          <w:szCs w:val="33"/>
          <w:lang w:bidi="ar-SA"/>
        </w:rPr>
        <w:t>项预算</w:t>
      </w:r>
      <w:r>
        <w:rPr>
          <w:rFonts w:hint="default" w:ascii="Times New Roman" w:hAnsi="Times New Roman" w:eastAsia="仿宋" w:cs="Times New Roman"/>
          <w:sz w:val="33"/>
          <w:szCs w:val="33"/>
          <w:lang w:eastAsia="zh-CN" w:bidi="ar-SA"/>
        </w:rPr>
        <w:t>，共计</w:t>
      </w:r>
      <w:r>
        <w:rPr>
          <w:rFonts w:hint="default" w:ascii="Times New Roman" w:hAnsi="Times New Roman" w:eastAsia="仿宋" w:cs="Times New Roman"/>
          <w:sz w:val="33"/>
          <w:szCs w:val="33"/>
          <w:lang w:val="en-US" w:eastAsia="zh-CN" w:bidi="ar-SA"/>
        </w:rPr>
        <w:t>1312585.89元，分别为</w:t>
      </w:r>
      <w:r>
        <w:rPr>
          <w:rFonts w:hint="default" w:ascii="Times New Roman" w:hAnsi="Times New Roman" w:eastAsia="仿宋" w:cs="Times New Roman"/>
          <w:sz w:val="33"/>
          <w:szCs w:val="33"/>
          <w:lang w:bidi="ar-SA"/>
        </w:rPr>
        <w:t>：</w:t>
      </w:r>
      <w:r>
        <w:rPr>
          <w:rFonts w:hint="default" w:ascii="Times New Roman" w:hAnsi="Times New Roman" w:eastAsia="仿宋" w:cs="Times New Roman"/>
          <w:b/>
          <w:bCs/>
          <w:sz w:val="33"/>
          <w:szCs w:val="33"/>
          <w:lang w:bidi="ar-SA"/>
        </w:rPr>
        <w:t>一是</w:t>
      </w:r>
      <w:r>
        <w:rPr>
          <w:rFonts w:hint="default" w:ascii="Times New Roman" w:hAnsi="Times New Roman" w:eastAsia="仿宋" w:cs="Times New Roman"/>
          <w:sz w:val="33"/>
          <w:szCs w:val="33"/>
          <w:lang w:bidi="ar-SA"/>
        </w:rPr>
        <w:t>下达《</w:t>
      </w:r>
      <w:r>
        <w:rPr>
          <w:rFonts w:hint="default" w:ascii="Times New Roman" w:hAnsi="Times New Roman" w:eastAsia="仿宋" w:cs="Times New Roman"/>
          <w:sz w:val="33"/>
          <w:szCs w:val="33"/>
          <w:lang w:eastAsia="zh-CN" w:bidi="ar-SA"/>
        </w:rPr>
        <w:t>李国超艺术档案征集</w:t>
      </w:r>
      <w:r>
        <w:rPr>
          <w:rFonts w:hint="default" w:ascii="Times New Roman" w:hAnsi="Times New Roman" w:eastAsia="仿宋" w:cs="Times New Roman"/>
          <w:sz w:val="33"/>
          <w:szCs w:val="33"/>
          <w:lang w:bidi="ar-SA"/>
        </w:rPr>
        <w:t>》经费489522.33元，主要用于</w:t>
      </w:r>
      <w:r>
        <w:rPr>
          <w:rFonts w:hint="default" w:ascii="Times New Roman" w:hAnsi="Times New Roman" w:eastAsia="仿宋" w:cs="Times New Roman"/>
          <w:sz w:val="33"/>
          <w:szCs w:val="33"/>
          <w:lang w:eastAsia="zh-CN" w:bidi="ar-SA"/>
        </w:rPr>
        <w:t>李国超艺术档案征集、装裱、数字化及书画艺术作品</w:t>
      </w:r>
      <w:r>
        <w:rPr>
          <w:rFonts w:hint="default" w:ascii="Times New Roman" w:hAnsi="Times New Roman" w:eastAsia="仿宋" w:cs="Times New Roman"/>
          <w:sz w:val="33"/>
          <w:szCs w:val="33"/>
          <w:lang w:bidi="ar-SA"/>
        </w:rPr>
        <w:t>展厅建设，202</w:t>
      </w:r>
      <w:r>
        <w:rPr>
          <w:rFonts w:hint="default" w:ascii="Times New Roman" w:hAnsi="Times New Roman" w:eastAsia="仿宋" w:cs="Times New Roman"/>
          <w:sz w:val="33"/>
          <w:szCs w:val="33"/>
          <w:lang w:val="en-US" w:eastAsia="zh-CN" w:bidi="ar-SA"/>
        </w:rPr>
        <w:t>1</w:t>
      </w:r>
      <w:r>
        <w:rPr>
          <w:rFonts w:hint="default" w:ascii="Times New Roman" w:hAnsi="Times New Roman" w:eastAsia="仿宋" w:cs="Times New Roman"/>
          <w:sz w:val="33"/>
          <w:szCs w:val="33"/>
          <w:lang w:bidi="ar-SA"/>
        </w:rPr>
        <w:t>年已全部使用；</w:t>
      </w:r>
      <w:r>
        <w:rPr>
          <w:rFonts w:hint="default" w:ascii="Times New Roman" w:hAnsi="Times New Roman" w:eastAsia="仿宋" w:cs="Times New Roman"/>
          <w:b/>
          <w:bCs/>
          <w:sz w:val="33"/>
          <w:szCs w:val="33"/>
          <w:lang w:bidi="ar-SA"/>
        </w:rPr>
        <w:t>二是</w:t>
      </w:r>
      <w:r>
        <w:rPr>
          <w:rFonts w:hint="default" w:ascii="Times New Roman" w:hAnsi="Times New Roman" w:eastAsia="仿宋" w:cs="Times New Roman"/>
          <w:sz w:val="33"/>
          <w:szCs w:val="33"/>
          <w:lang w:bidi="ar-SA"/>
        </w:rPr>
        <w:t>下达202</w:t>
      </w:r>
      <w:r>
        <w:rPr>
          <w:rFonts w:hint="default" w:ascii="Times New Roman" w:hAnsi="Times New Roman" w:eastAsia="仿宋" w:cs="Times New Roman"/>
          <w:sz w:val="33"/>
          <w:szCs w:val="33"/>
          <w:lang w:val="en-US" w:eastAsia="zh-CN" w:bidi="ar-SA"/>
        </w:rPr>
        <w:t>1</w:t>
      </w:r>
      <w:r>
        <w:rPr>
          <w:rFonts w:hint="default" w:ascii="Times New Roman" w:hAnsi="Times New Roman" w:eastAsia="仿宋" w:cs="Times New Roman"/>
          <w:sz w:val="33"/>
          <w:szCs w:val="33"/>
          <w:lang w:bidi="ar-SA"/>
        </w:rPr>
        <w:t>年度市级挂职干部（人才）补助专项经费</w:t>
      </w:r>
      <w:r>
        <w:rPr>
          <w:rFonts w:hint="default" w:ascii="Times New Roman" w:hAnsi="Times New Roman" w:eastAsia="仿宋" w:cs="Times New Roman"/>
          <w:sz w:val="33"/>
          <w:szCs w:val="33"/>
          <w:lang w:val="en-US" w:eastAsia="zh-CN" w:bidi="ar-SA"/>
        </w:rPr>
        <w:t>22564.5</w:t>
      </w:r>
      <w:r>
        <w:rPr>
          <w:rFonts w:hint="default" w:ascii="Times New Roman" w:hAnsi="Times New Roman" w:eastAsia="仿宋" w:cs="Times New Roman"/>
          <w:sz w:val="33"/>
          <w:szCs w:val="33"/>
          <w:lang w:bidi="ar-SA"/>
        </w:rPr>
        <w:t>元，已全部用于挂职干部的补助发放；</w:t>
      </w:r>
      <w:r>
        <w:rPr>
          <w:rFonts w:hint="default" w:ascii="Times New Roman" w:hAnsi="Times New Roman" w:eastAsia="仿宋" w:cs="Times New Roman"/>
          <w:b/>
          <w:bCs/>
          <w:sz w:val="33"/>
          <w:szCs w:val="33"/>
          <w:lang w:bidi="ar-SA"/>
        </w:rPr>
        <w:t>三是</w:t>
      </w:r>
      <w:r>
        <w:rPr>
          <w:rFonts w:hint="default" w:ascii="Times New Roman" w:hAnsi="Times New Roman" w:eastAsia="仿宋" w:cs="Times New Roman"/>
          <w:sz w:val="33"/>
          <w:szCs w:val="33"/>
          <w:lang w:bidi="ar-SA"/>
        </w:rPr>
        <w:t>下达</w:t>
      </w:r>
      <w:r>
        <w:rPr>
          <w:rFonts w:hint="default" w:ascii="Times New Roman" w:hAnsi="Times New Roman" w:eastAsia="仿宋" w:cs="Times New Roman"/>
          <w:sz w:val="33"/>
          <w:szCs w:val="33"/>
          <w:lang w:eastAsia="zh-CN" w:bidi="ar-SA"/>
        </w:rPr>
        <w:t>中人一次性补贴</w:t>
      </w:r>
      <w:r>
        <w:rPr>
          <w:rFonts w:hint="default" w:ascii="Times New Roman" w:hAnsi="Times New Roman" w:eastAsia="仿宋" w:cs="Times New Roman"/>
          <w:sz w:val="33"/>
          <w:szCs w:val="33"/>
          <w:lang w:val="en-US" w:eastAsia="zh-CN" w:bidi="ar-SA"/>
        </w:rPr>
        <w:t>114072.00</w:t>
      </w:r>
      <w:r>
        <w:rPr>
          <w:rFonts w:hint="default" w:ascii="Times New Roman" w:hAnsi="Times New Roman" w:eastAsia="仿宋" w:cs="Times New Roman"/>
          <w:sz w:val="33"/>
          <w:szCs w:val="33"/>
          <w:lang w:bidi="ar-SA"/>
        </w:rPr>
        <w:t>元，已全部用于</w:t>
      </w:r>
      <w:r>
        <w:rPr>
          <w:rFonts w:hint="default" w:ascii="Times New Roman" w:hAnsi="Times New Roman" w:eastAsia="仿宋" w:cs="Times New Roman"/>
          <w:sz w:val="33"/>
          <w:szCs w:val="33"/>
          <w:lang w:eastAsia="zh-CN" w:bidi="ar-SA"/>
        </w:rPr>
        <w:t>发放中人一次性补贴</w:t>
      </w:r>
      <w:r>
        <w:rPr>
          <w:rFonts w:hint="default" w:ascii="Times New Roman" w:hAnsi="Times New Roman" w:eastAsia="仿宋" w:cs="Times New Roman"/>
          <w:sz w:val="33"/>
          <w:szCs w:val="33"/>
          <w:lang w:bidi="ar-SA"/>
        </w:rPr>
        <w:t>；</w:t>
      </w:r>
      <w:r>
        <w:rPr>
          <w:rFonts w:hint="default" w:ascii="Times New Roman" w:hAnsi="Times New Roman" w:eastAsia="仿宋" w:cs="Times New Roman"/>
          <w:b/>
          <w:bCs/>
          <w:sz w:val="33"/>
          <w:szCs w:val="33"/>
          <w:lang w:bidi="ar-SA"/>
        </w:rPr>
        <w:t>四是</w:t>
      </w:r>
      <w:r>
        <w:rPr>
          <w:rFonts w:hint="default" w:ascii="Times New Roman" w:hAnsi="Times New Roman" w:eastAsia="仿宋" w:cs="Times New Roman"/>
          <w:sz w:val="33"/>
          <w:szCs w:val="33"/>
          <w:lang w:bidi="ar-SA"/>
        </w:rPr>
        <w:t>下达事业人员丧葬抚恤费</w:t>
      </w:r>
      <w:r>
        <w:rPr>
          <w:rFonts w:hint="default" w:ascii="Times New Roman" w:hAnsi="Times New Roman" w:eastAsia="仿宋" w:cs="Times New Roman"/>
          <w:sz w:val="33"/>
          <w:szCs w:val="33"/>
          <w:lang w:val="en-US" w:eastAsia="zh-CN" w:bidi="ar-SA"/>
        </w:rPr>
        <w:t>472701.00</w:t>
      </w:r>
      <w:r>
        <w:rPr>
          <w:rFonts w:hint="default" w:ascii="Times New Roman" w:hAnsi="Times New Roman" w:eastAsia="仿宋" w:cs="Times New Roman"/>
          <w:sz w:val="33"/>
          <w:szCs w:val="33"/>
          <w:lang w:bidi="ar-SA"/>
        </w:rPr>
        <w:t>元，已全部用于死亡职工抚恤；</w:t>
      </w:r>
      <w:r>
        <w:rPr>
          <w:rFonts w:hint="default" w:ascii="Times New Roman" w:hAnsi="Times New Roman" w:eastAsia="仿宋" w:cs="Times New Roman"/>
          <w:b/>
          <w:bCs/>
          <w:sz w:val="33"/>
          <w:szCs w:val="33"/>
          <w:lang w:eastAsia="zh-CN" w:bidi="ar-SA"/>
        </w:rPr>
        <w:t>五</w:t>
      </w:r>
      <w:r>
        <w:rPr>
          <w:rFonts w:hint="default" w:ascii="Times New Roman" w:hAnsi="Times New Roman" w:eastAsia="仿宋" w:cs="Times New Roman"/>
          <w:b/>
          <w:bCs/>
          <w:sz w:val="33"/>
          <w:szCs w:val="33"/>
          <w:lang w:bidi="ar-SA"/>
        </w:rPr>
        <w:t>是</w:t>
      </w:r>
      <w:r>
        <w:rPr>
          <w:rFonts w:hint="default" w:ascii="Times New Roman" w:hAnsi="Times New Roman" w:eastAsia="仿宋" w:cs="Times New Roman"/>
          <w:sz w:val="33"/>
          <w:szCs w:val="33"/>
          <w:lang w:bidi="ar-SA"/>
        </w:rPr>
        <w:t>下达增人增资和目标奖合计</w:t>
      </w:r>
      <w:r>
        <w:rPr>
          <w:rFonts w:hint="default" w:ascii="Times New Roman" w:hAnsi="Times New Roman" w:eastAsia="仿宋" w:cs="Times New Roman"/>
          <w:sz w:val="33"/>
          <w:szCs w:val="33"/>
          <w:lang w:val="en-US" w:eastAsia="zh-CN" w:bidi="ar-SA"/>
        </w:rPr>
        <w:t>213726.06</w:t>
      </w:r>
      <w:r>
        <w:rPr>
          <w:rFonts w:hint="default" w:ascii="Times New Roman" w:hAnsi="Times New Roman" w:eastAsia="仿宋" w:cs="Times New Roman"/>
          <w:sz w:val="33"/>
          <w:szCs w:val="33"/>
          <w:lang w:bidi="ar-SA"/>
        </w:rPr>
        <w:t>元，全部用于人员工资和目标奖发放。</w:t>
      </w:r>
    </w:p>
    <w:p>
      <w:pPr>
        <w:adjustRightInd w:val="0"/>
        <w:snapToGrid w:val="0"/>
        <w:spacing w:line="56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4.专项资金安排及支出情况。</w:t>
      </w:r>
      <w:r>
        <w:rPr>
          <w:rFonts w:hint="default" w:ascii="Times New Roman" w:hAnsi="Times New Roman" w:eastAsia="仿宋" w:cs="Times New Roman"/>
          <w:sz w:val="32"/>
          <w:szCs w:val="32"/>
        </w:rPr>
        <w:t>2021年市级财政共下达市档案馆4笔专项资金合计820222.33元，已全部用于对应项目支出，预算执行率达100%。一是下达馆藏档案特种设备维保费15000.00元，支出15000.00元，主要用于保障市档案馆2021年上半年市档案馆电梯和自动化消防系统正常工作；二是市档案馆搬迁经费278000.00元，支出278000.00元，全部用于市档案馆机房搬迁设备购置及改造费用；三是下达李国超艺术档案征集费用489522.33元，支出489522.33元，主要用于李国超艺术档案征集、装裱、数字化及书画艺术作品展厅建设；四是档案馆馆藏档案用电费31800.00元，支出31800.00元，主要用于馆藏档案保护方面的电费、特种设备运行、消防及爱教基地运行、提供档案查阅服务等支出；五是《100个攀枝花经典故事》（暂定名）编纂出版费用5900.00元，支出5900.00元，主要用于稿件约稿组稿支出。</w:t>
      </w:r>
    </w:p>
    <w:p>
      <w:pPr>
        <w:adjustRightInd w:val="0"/>
        <w:snapToGrid w:val="0"/>
        <w:spacing w:line="56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5.结转结余使用情况。</w:t>
      </w:r>
      <w:r>
        <w:rPr>
          <w:rFonts w:hint="default" w:ascii="Times New Roman" w:hAnsi="Times New Roman" w:eastAsia="仿宋" w:cs="Times New Roman"/>
          <w:sz w:val="32"/>
          <w:szCs w:val="32"/>
        </w:rPr>
        <w:t>市档案馆2020结转资金为118879.00元，全部为省下重点档案保护开发利用经费。2021年使用结转资金87720.50元，结转省下重点档案保护开发利用经费剩余31158.50元，将继续用于重点档案保护开发利用工作。</w:t>
      </w:r>
    </w:p>
    <w:p>
      <w:pPr>
        <w:adjustRightInd w:val="0"/>
        <w:snapToGrid w:val="0"/>
        <w:spacing w:line="560" w:lineRule="exact"/>
        <w:ind w:firstLine="640" w:firstLineChars="200"/>
        <w:rPr>
          <w:rFonts w:hint="default" w:ascii="Times New Roman" w:hAnsi="Times New Roman" w:eastAsia="楷体" w:cs="Times New Roman"/>
          <w:kern w:val="0"/>
          <w:sz w:val="32"/>
          <w:szCs w:val="32"/>
        </w:rPr>
      </w:pPr>
      <w:r>
        <w:rPr>
          <w:rFonts w:hint="default" w:ascii="Times New Roman" w:hAnsi="Times New Roman" w:eastAsia="楷体" w:cs="Times New Roman"/>
          <w:sz w:val="32"/>
          <w:szCs w:val="32"/>
        </w:rPr>
        <w:t>（二）结果应用情况</w:t>
      </w:r>
    </w:p>
    <w:p>
      <w:pPr>
        <w:spacing w:line="58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1.年初部门预算绩效目标完成情况</w:t>
      </w:r>
    </w:p>
    <w:p>
      <w:pPr>
        <w:pStyle w:val="7"/>
        <w:spacing w:line="576" w:lineRule="exact"/>
        <w:ind w:firstLine="640" w:firstLineChars="200"/>
        <w:rPr>
          <w:rFonts w:hint="default" w:ascii="Times New Roman" w:hAnsi="Times New Roman" w:eastAsia="仿宋" w:cs="Times New Roman"/>
          <w:sz w:val="32"/>
          <w:szCs w:val="32"/>
          <w:lang w:bidi="ar-SA"/>
        </w:rPr>
      </w:pPr>
      <w:r>
        <w:rPr>
          <w:rFonts w:hint="default" w:ascii="Times New Roman" w:hAnsi="Times New Roman" w:eastAsia="仿宋" w:cs="Times New Roman"/>
          <w:sz w:val="32"/>
          <w:szCs w:val="32"/>
          <w:lang w:bidi="ar-SA"/>
        </w:rPr>
        <w:t>（1）产出指标完成情况分析。市档案馆圆满完成了年初预算绩效的各项产出指标。具体情况如下：保证了全馆机构运行所需的水电费、办公费、差旅费、公务接待费和29名在职及25名退休人员的工资及福利待遇的发放；馆藏档案全宗284个，馆藏纸质档案335193卷、311170件，声像档案2941盘,照片档案64109张；实物档案2685件；资料25864册安全存放；组织编纂《攀枝花开发建设重大历史回顾》26万字，征集整理李国超艺术作品1600余件，承办“脱贫攻坚与疫情防控”写意画展；完成市档案馆搬迁，建成档案库房8个，库房总建筑面积约5769平方米；完成机房搬迁及改造工作；完善库房内部视频监控系统，达到库房内部视频监控全覆盖；建成容积为50立方米的档案低温冷冻除虫库；2021年接待档案查阅利用群众966人次，调阅案卷14285卷（件），复印档案资料15558页；完成9名行政执法人员证件年审及线上线下法律法规培训及考试，新增2名执法人员；对39个市级部门（单位）开展档案行政执法检查，完成“互联网+监管”平台著录；报送档案信息90余条。</w:t>
      </w:r>
    </w:p>
    <w:p>
      <w:pPr>
        <w:pStyle w:val="7"/>
        <w:spacing w:line="576" w:lineRule="exact"/>
        <w:ind w:firstLine="640" w:firstLineChars="200"/>
        <w:rPr>
          <w:rFonts w:hint="default" w:ascii="Times New Roman" w:hAnsi="Times New Roman" w:eastAsia="仿宋" w:cs="Times New Roman"/>
          <w:sz w:val="32"/>
          <w:szCs w:val="32"/>
          <w:lang w:bidi="ar-SA"/>
        </w:rPr>
      </w:pPr>
      <w:r>
        <w:rPr>
          <w:rFonts w:hint="default" w:ascii="Times New Roman" w:hAnsi="Times New Roman" w:eastAsia="仿宋" w:cs="Times New Roman"/>
          <w:sz w:val="32"/>
          <w:szCs w:val="32"/>
          <w:lang w:bidi="ar-SA"/>
        </w:rPr>
        <w:t>（2）效益指标完成情况分析。市档案馆圆满完成了年初预算绩效的各项效益指标，获得良好社会效益。具体情况如下：发挥爱国主义教育基地的作用，使“三线精神”和爱国主义精神进一步在广大市民中传播开来；面向社会提供无偿查档服务，开通查档绿色通道，查档范围覆盖</w:t>
      </w:r>
      <w:r>
        <w:rPr>
          <w:rFonts w:hint="default" w:ascii="Times New Roman" w:hAnsi="Times New Roman" w:eastAsia="仿宋" w:cs="Times New Roman"/>
          <w:kern w:val="2"/>
          <w:sz w:val="32"/>
          <w:szCs w:val="32"/>
          <w:lang w:bidi="ar-SA"/>
        </w:rPr>
        <w:t>表彰、职称认定、分配介绍信、社保档案、工资表、会计凭证档案等民生档案</w:t>
      </w:r>
      <w:r>
        <w:rPr>
          <w:rFonts w:hint="default" w:ascii="Times New Roman" w:hAnsi="Times New Roman" w:eastAsia="仿宋" w:cs="Times New Roman"/>
          <w:sz w:val="32"/>
          <w:szCs w:val="32"/>
          <w:lang w:bidi="ar-SA"/>
        </w:rPr>
        <w:t>；结合市委</w:t>
      </w:r>
      <w:r>
        <w:rPr>
          <w:rFonts w:hint="default" w:ascii="Times New Roman" w:hAnsi="Times New Roman" w:eastAsia="仿宋" w:cs="Times New Roman"/>
          <w:kern w:val="2"/>
          <w:sz w:val="32"/>
          <w:szCs w:val="32"/>
          <w:lang w:bidi="ar-SA"/>
        </w:rPr>
        <w:t>、</w:t>
      </w:r>
      <w:r>
        <w:rPr>
          <w:rFonts w:hint="default" w:ascii="Times New Roman" w:hAnsi="Times New Roman" w:eastAsia="仿宋" w:cs="Times New Roman"/>
          <w:sz w:val="32"/>
          <w:szCs w:val="32"/>
          <w:lang w:bidi="ar-SA"/>
        </w:rPr>
        <w:t>市政府中心工作，组织编纂《攀枝花开发建设重大历史回顾》，完成约稿和组稿工作；承办“脱贫攻坚与疫情防控”写意画展；积极争取市档案馆、西区档案馆、仁和区档案馆确定为四川省数字档案馆建设试点单位，促进攀枝花市档案事业数字化进程迈向新台阶；服务新型冠状病毒肺炎疫情防控档案归集和脱贫攻坚档案省级验收，及棚户区改造项目档案等重点档案，规范重点档案整理及移交工作。</w:t>
      </w:r>
    </w:p>
    <w:p>
      <w:pPr>
        <w:pStyle w:val="7"/>
        <w:spacing w:line="576" w:lineRule="exact"/>
        <w:ind w:firstLine="640" w:firstLineChars="200"/>
        <w:rPr>
          <w:rFonts w:hint="default" w:ascii="Times New Roman" w:hAnsi="Times New Roman" w:eastAsia="仿宋" w:cs="Times New Roman"/>
          <w:sz w:val="32"/>
          <w:szCs w:val="32"/>
          <w:lang w:bidi="ar-SA"/>
        </w:rPr>
      </w:pPr>
      <w:r>
        <w:rPr>
          <w:rFonts w:hint="default" w:ascii="Times New Roman" w:hAnsi="Times New Roman" w:eastAsia="仿宋" w:cs="Times New Roman"/>
          <w:sz w:val="32"/>
          <w:szCs w:val="32"/>
          <w:lang w:bidi="ar-SA"/>
        </w:rPr>
        <w:t>（3）满意度指标完成情况分析。市档案馆圆满完成了年初预算绩效的满意度指标，广大查档、参观市民对档案馆提供的各种服务均表示满意。</w:t>
      </w:r>
    </w:p>
    <w:p>
      <w:pPr>
        <w:spacing w:line="58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2.市级专项（项目）资金绩效目标完成情况</w:t>
      </w:r>
    </w:p>
    <w:p>
      <w:pPr>
        <w:pStyle w:val="7"/>
        <w:spacing w:line="576" w:lineRule="exact"/>
        <w:ind w:firstLine="640" w:firstLineChars="200"/>
        <w:rPr>
          <w:rFonts w:hint="default" w:ascii="Times New Roman" w:hAnsi="Times New Roman" w:eastAsia="仿宋" w:cs="Times New Roman"/>
          <w:sz w:val="32"/>
          <w:szCs w:val="32"/>
          <w:lang w:bidi="ar-SA"/>
        </w:rPr>
      </w:pPr>
      <w:r>
        <w:rPr>
          <w:rFonts w:hint="default" w:ascii="Times New Roman" w:hAnsi="Times New Roman" w:eastAsia="仿宋" w:cs="Times New Roman"/>
          <w:sz w:val="32"/>
          <w:szCs w:val="32"/>
          <w:lang w:bidi="ar-SA"/>
        </w:rPr>
        <w:t>（1）产出指标完成情况分析。</w:t>
      </w:r>
      <w:r>
        <w:rPr>
          <w:rFonts w:hint="default" w:ascii="Times New Roman" w:hAnsi="Times New Roman" w:eastAsia="仿宋" w:cs="Times New Roman"/>
          <w:b/>
          <w:bCs/>
          <w:sz w:val="32"/>
          <w:szCs w:val="32"/>
          <w:lang w:bidi="ar-SA"/>
        </w:rPr>
        <w:t>一是</w:t>
      </w:r>
      <w:r>
        <w:rPr>
          <w:rFonts w:hint="default" w:ascii="Times New Roman" w:hAnsi="Times New Roman" w:eastAsia="仿宋" w:cs="Times New Roman"/>
          <w:sz w:val="32"/>
          <w:szCs w:val="32"/>
          <w:lang w:bidi="ar-SA"/>
        </w:rPr>
        <w:t>馆藏档案特种设备维保费15000.00元，用于保障市档案馆2021年上半年市档案馆1台专用电梯和1套自动化消防系统正常工作；</w:t>
      </w:r>
      <w:r>
        <w:rPr>
          <w:rFonts w:hint="default" w:ascii="Times New Roman" w:hAnsi="Times New Roman" w:eastAsia="仿宋" w:cs="Times New Roman"/>
          <w:b/>
          <w:bCs/>
          <w:sz w:val="32"/>
          <w:szCs w:val="32"/>
          <w:lang w:bidi="ar-SA"/>
        </w:rPr>
        <w:t>二是</w:t>
      </w:r>
      <w:r>
        <w:rPr>
          <w:rFonts w:hint="default" w:ascii="Times New Roman" w:hAnsi="Times New Roman" w:eastAsia="仿宋" w:cs="Times New Roman"/>
          <w:sz w:val="32"/>
          <w:szCs w:val="32"/>
          <w:lang w:bidi="ar-SA"/>
        </w:rPr>
        <w:t>市档案馆搬迁经费278000.00元，用于市档案馆机房搬迁设备购置及改造费用；</w:t>
      </w:r>
      <w:r>
        <w:rPr>
          <w:rFonts w:hint="default" w:ascii="Times New Roman" w:hAnsi="Times New Roman" w:eastAsia="仿宋" w:cs="Times New Roman"/>
          <w:b/>
          <w:bCs/>
          <w:sz w:val="32"/>
          <w:szCs w:val="32"/>
          <w:lang w:bidi="ar-SA"/>
        </w:rPr>
        <w:t>三是</w:t>
      </w:r>
      <w:r>
        <w:rPr>
          <w:rFonts w:hint="default" w:ascii="Times New Roman" w:hAnsi="Times New Roman" w:eastAsia="仿宋" w:cs="Times New Roman"/>
          <w:sz w:val="32"/>
          <w:szCs w:val="32"/>
          <w:lang w:bidi="ar-SA"/>
        </w:rPr>
        <w:t>李国超艺术档案征集费用489522.33元，用于李国超艺术档案征集、装裱、数字化1600余件及145平方米书画艺术作品展厅建设；</w:t>
      </w:r>
      <w:r>
        <w:rPr>
          <w:rFonts w:hint="default" w:ascii="Times New Roman" w:hAnsi="Times New Roman" w:eastAsia="仿宋" w:cs="Times New Roman"/>
          <w:b/>
          <w:bCs/>
          <w:sz w:val="32"/>
          <w:szCs w:val="32"/>
          <w:lang w:bidi="ar-SA"/>
        </w:rPr>
        <w:t>四是</w:t>
      </w:r>
      <w:r>
        <w:rPr>
          <w:rFonts w:hint="default" w:ascii="Times New Roman" w:hAnsi="Times New Roman" w:eastAsia="仿宋" w:cs="Times New Roman"/>
          <w:sz w:val="32"/>
          <w:szCs w:val="32"/>
          <w:lang w:bidi="ar-SA"/>
        </w:rPr>
        <w:t>档案馆馆藏档案用电费31800.00元，用于馆藏档案全宗284个，馆藏纸质档案335193卷、311170件，声像档案2941盘,照片档案64109张；实物档案2685件；资料25864册档案保护、特种设备运行、消防及爱教基地运行、提供档案查阅服务等支出；</w:t>
      </w:r>
      <w:r>
        <w:rPr>
          <w:rFonts w:hint="default" w:ascii="Times New Roman" w:hAnsi="Times New Roman" w:eastAsia="仿宋" w:cs="Times New Roman"/>
          <w:b/>
          <w:bCs/>
          <w:sz w:val="32"/>
          <w:szCs w:val="32"/>
          <w:lang w:bidi="ar-SA"/>
        </w:rPr>
        <w:t>五是</w:t>
      </w:r>
      <w:r>
        <w:rPr>
          <w:rFonts w:hint="default" w:ascii="Times New Roman" w:hAnsi="Times New Roman" w:eastAsia="仿宋" w:cs="Times New Roman"/>
          <w:sz w:val="32"/>
          <w:szCs w:val="32"/>
          <w:lang w:bidi="ar-SA"/>
        </w:rPr>
        <w:t>《100个攀枝花经典故事》（暂定名）编纂出版费用5900.00元，用于稿件约稿组稿36篇文章、32张照片共计26万字支出。</w:t>
      </w:r>
    </w:p>
    <w:p>
      <w:pPr>
        <w:pStyle w:val="7"/>
        <w:spacing w:line="576" w:lineRule="exact"/>
        <w:ind w:firstLine="640" w:firstLineChars="200"/>
        <w:rPr>
          <w:rFonts w:hint="default" w:ascii="Times New Roman" w:hAnsi="Times New Roman" w:eastAsia="仿宋" w:cs="Times New Roman"/>
          <w:sz w:val="32"/>
          <w:szCs w:val="32"/>
          <w:lang w:bidi="ar-SA"/>
        </w:rPr>
      </w:pPr>
      <w:r>
        <w:rPr>
          <w:rFonts w:hint="default" w:ascii="Times New Roman" w:hAnsi="Times New Roman" w:eastAsia="仿宋" w:cs="Times New Roman"/>
          <w:sz w:val="32"/>
          <w:szCs w:val="32"/>
          <w:lang w:bidi="ar-SA"/>
        </w:rPr>
        <w:t>（2）效益指标完成情况分析。</w:t>
      </w:r>
      <w:r>
        <w:rPr>
          <w:rFonts w:hint="default" w:ascii="Times New Roman" w:hAnsi="Times New Roman" w:eastAsia="仿宋" w:cs="Times New Roman"/>
          <w:b/>
          <w:bCs/>
          <w:sz w:val="32"/>
          <w:szCs w:val="32"/>
          <w:lang w:bidi="ar-SA"/>
        </w:rPr>
        <w:t>一是</w:t>
      </w:r>
      <w:r>
        <w:rPr>
          <w:rFonts w:hint="default" w:ascii="Times New Roman" w:hAnsi="Times New Roman" w:eastAsia="仿宋" w:cs="Times New Roman"/>
          <w:sz w:val="32"/>
          <w:szCs w:val="32"/>
          <w:lang w:bidi="ar-SA"/>
        </w:rPr>
        <w:t>馆藏档案特种设备维保项目：为档案查阅利用者提供了安全可查可用的档案，获得广大市民一致好评；</w:t>
      </w:r>
      <w:r>
        <w:rPr>
          <w:rFonts w:hint="default" w:ascii="Times New Roman" w:hAnsi="Times New Roman" w:eastAsia="仿宋" w:cs="Times New Roman"/>
          <w:b/>
          <w:bCs/>
          <w:sz w:val="32"/>
          <w:szCs w:val="32"/>
          <w:lang w:bidi="ar-SA"/>
        </w:rPr>
        <w:t>二是</w:t>
      </w:r>
      <w:r>
        <w:rPr>
          <w:rFonts w:hint="default" w:ascii="Times New Roman" w:hAnsi="Times New Roman" w:eastAsia="仿宋" w:cs="Times New Roman"/>
          <w:sz w:val="32"/>
          <w:szCs w:val="32"/>
          <w:lang w:bidi="ar-SA"/>
        </w:rPr>
        <w:t>市档案馆搬迁项目：完成市委、市政府的既定搬迁任务，改善档案保管保护条件及查阅质量，满足现有档案储存任务，达到攀枝花档案存储年限要求，达到长期保障市档案馆数字及实体档案安全保管保护条件</w:t>
      </w:r>
      <w:r>
        <w:rPr>
          <w:rFonts w:hint="default" w:ascii="Times New Roman" w:hAnsi="Times New Roman" w:eastAsia="仿宋" w:cs="Times New Roman"/>
          <w:b/>
          <w:bCs/>
          <w:sz w:val="32"/>
          <w:szCs w:val="32"/>
          <w:lang w:bidi="ar-SA"/>
        </w:rPr>
        <w:t>；三是</w:t>
      </w:r>
      <w:r>
        <w:rPr>
          <w:rFonts w:hint="default" w:ascii="Times New Roman" w:hAnsi="Times New Roman" w:eastAsia="仿宋" w:cs="Times New Roman"/>
          <w:sz w:val="32"/>
          <w:szCs w:val="32"/>
          <w:lang w:bidi="ar-SA"/>
        </w:rPr>
        <w:t>李国超艺术档案征集：彰显和弘扬市民群众爱攀情怀，提升攀枝花文化艺术底蕴；</w:t>
      </w:r>
      <w:r>
        <w:rPr>
          <w:rFonts w:hint="default" w:ascii="Times New Roman" w:hAnsi="Times New Roman" w:eastAsia="仿宋" w:cs="Times New Roman"/>
          <w:b/>
          <w:bCs/>
          <w:sz w:val="32"/>
          <w:szCs w:val="32"/>
          <w:lang w:bidi="ar-SA"/>
        </w:rPr>
        <w:t>四是</w:t>
      </w:r>
      <w:r>
        <w:rPr>
          <w:rFonts w:hint="default" w:ascii="Times New Roman" w:hAnsi="Times New Roman" w:eastAsia="仿宋" w:cs="Times New Roman"/>
          <w:sz w:val="32"/>
          <w:szCs w:val="32"/>
          <w:lang w:bidi="ar-SA"/>
        </w:rPr>
        <w:t>档案馆馆藏档案用电：为市档案馆向社会公众提供服务提供强大的电力支撑，使服务能力进一步提升；</w:t>
      </w:r>
      <w:r>
        <w:rPr>
          <w:rFonts w:hint="default" w:ascii="Times New Roman" w:hAnsi="Times New Roman" w:eastAsia="仿宋" w:cs="Times New Roman"/>
          <w:b/>
          <w:bCs/>
          <w:sz w:val="32"/>
          <w:szCs w:val="32"/>
          <w:lang w:bidi="ar-SA"/>
        </w:rPr>
        <w:t>五是</w:t>
      </w:r>
      <w:r>
        <w:rPr>
          <w:rFonts w:hint="default" w:ascii="Times New Roman" w:hAnsi="Times New Roman" w:eastAsia="仿宋" w:cs="Times New Roman"/>
          <w:sz w:val="32"/>
          <w:szCs w:val="32"/>
          <w:lang w:bidi="ar-SA"/>
        </w:rPr>
        <w:t>《100个攀枝花经典故事》（暂定名）编纂出版项目：弘扬三线精神，激发群众爱国爱攀情怀。</w:t>
      </w:r>
    </w:p>
    <w:p>
      <w:pPr>
        <w:pStyle w:val="7"/>
        <w:spacing w:line="576" w:lineRule="exact"/>
        <w:ind w:firstLine="640" w:firstLineChars="200"/>
        <w:rPr>
          <w:rFonts w:hint="default" w:ascii="Times New Roman" w:hAnsi="Times New Roman" w:eastAsia="仿宋" w:cs="Times New Roman"/>
          <w:sz w:val="32"/>
          <w:szCs w:val="32"/>
          <w:lang w:bidi="ar-SA"/>
        </w:rPr>
      </w:pPr>
      <w:r>
        <w:rPr>
          <w:rFonts w:hint="default" w:ascii="Times New Roman" w:hAnsi="Times New Roman" w:eastAsia="仿宋" w:cs="Times New Roman"/>
          <w:sz w:val="32"/>
          <w:szCs w:val="32"/>
          <w:lang w:bidi="ar-SA"/>
        </w:rPr>
        <w:t>（3）满意度指标完成情况分析。市档案馆完成市级项目年初预算绩效的满意度指标，查档市民对档案馆提供的查档服务表示满意。</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四、评价结论及建议</w:t>
      </w:r>
    </w:p>
    <w:p>
      <w:pPr>
        <w:ind w:firstLine="640" w:firstLineChars="200"/>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（一）评价结论。</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年，本部门严格按照项目计划推进项目工作，遵守各项规定及财经纪律，全面完成了项目任务。</w:t>
      </w:r>
    </w:p>
    <w:p>
      <w:pPr>
        <w:ind w:firstLine="640" w:firstLineChars="200"/>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（二）存在问题。</w:t>
      </w:r>
      <w:r>
        <w:rPr>
          <w:rFonts w:hint="default" w:ascii="Times New Roman" w:hAnsi="Times New Roman" w:eastAsia="仿宋" w:cs="Times New Roman"/>
          <w:sz w:val="32"/>
          <w:szCs w:val="32"/>
        </w:rPr>
        <w:t xml:space="preserve">评价指标范围广、涉及部门多，且无经验借鉴，可能存在不能完全反映本部门实际工作所取得的成效与绩效结果。  </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（三）改进建议。</w:t>
      </w:r>
      <w:r>
        <w:rPr>
          <w:rFonts w:hint="default" w:ascii="Times New Roman" w:hAnsi="Times New Roman" w:eastAsia="仿宋" w:cs="Times New Roman"/>
          <w:sz w:val="32"/>
          <w:szCs w:val="32"/>
        </w:rPr>
        <w:t>聘请第三方机构帮助设置评价指标，科学规范项目考核标准；加大工作人员培训力度，提升业务水平；建立内部工作部门之间的绩效评价协作机制。齐抓共管，共同做好绩效评价工作。</w:t>
      </w:r>
    </w:p>
    <w:p>
      <w:pPr>
        <w:widowControl/>
        <w:jc w:val="left"/>
        <w:rPr>
          <w:rFonts w:hint="default" w:ascii="Times New Roman" w:hAnsi="Times New Roman" w:eastAsia="仿宋_GB2312" w:cs="Times New Roman"/>
          <w:sz w:val="32"/>
          <w:szCs w:val="32"/>
        </w:rPr>
      </w:pPr>
    </w:p>
    <w:p>
      <w:pPr>
        <w:widowControl/>
        <w:jc w:val="left"/>
        <w:rPr>
          <w:rFonts w:hint="default" w:ascii="Times New Roman" w:hAnsi="Times New Roman" w:eastAsia="仿宋_GB2312" w:cs="Times New Roman"/>
          <w:sz w:val="32"/>
          <w:szCs w:val="32"/>
        </w:rPr>
      </w:pPr>
    </w:p>
    <w:p>
      <w:pPr>
        <w:pStyle w:val="4"/>
        <w:rPr>
          <w:rStyle w:val="25"/>
          <w:rFonts w:hint="default" w:ascii="Times New Roman" w:hAnsi="Times New Roman" w:eastAsia="黑体" w:cs="Times New Roman"/>
          <w:b w:val="0"/>
          <w:bCs w:val="0"/>
          <w:sz w:val="32"/>
          <w:szCs w:val="32"/>
        </w:rPr>
      </w:pPr>
      <w:bookmarkStart w:id="63" w:name="_Toc51100219"/>
      <w:r>
        <w:rPr>
          <w:rStyle w:val="25"/>
          <w:rFonts w:hint="default" w:ascii="Times New Roman" w:hAnsi="Times New Roman" w:eastAsia="黑体" w:cs="Times New Roman"/>
          <w:b w:val="0"/>
          <w:bCs w:val="0"/>
          <w:sz w:val="32"/>
          <w:szCs w:val="32"/>
        </w:rPr>
        <w:t>附件2</w:t>
      </w:r>
      <w:bookmarkEnd w:id="63"/>
    </w:p>
    <w:p>
      <w:pPr>
        <w:spacing w:line="580" w:lineRule="exact"/>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lang w:eastAsia="zh-CN"/>
        </w:rPr>
        <w:t>李国超艺术档案征集</w:t>
      </w:r>
      <w:r>
        <w:rPr>
          <w:rFonts w:hint="default" w:ascii="Times New Roman" w:hAnsi="Times New Roman" w:eastAsia="黑体" w:cs="Times New Roman"/>
          <w:sz w:val="36"/>
          <w:szCs w:val="36"/>
        </w:rPr>
        <w:t>项目</w:t>
      </w:r>
    </w:p>
    <w:p>
      <w:pPr>
        <w:spacing w:line="580" w:lineRule="exact"/>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202</w:t>
      </w:r>
      <w:r>
        <w:rPr>
          <w:rFonts w:hint="default" w:ascii="Times New Roman" w:hAnsi="Times New Roman" w:eastAsia="黑体" w:cs="Times New Roman"/>
          <w:sz w:val="36"/>
          <w:szCs w:val="36"/>
          <w:lang w:val="en-US" w:eastAsia="zh-CN"/>
        </w:rPr>
        <w:t>1</w:t>
      </w:r>
      <w:r>
        <w:rPr>
          <w:rFonts w:hint="default" w:ascii="Times New Roman" w:hAnsi="Times New Roman" w:eastAsia="黑体" w:cs="Times New Roman"/>
          <w:sz w:val="36"/>
          <w:szCs w:val="36"/>
        </w:rPr>
        <w:t>年绩效评价报告</w:t>
      </w:r>
    </w:p>
    <w:p>
      <w:pPr>
        <w:spacing w:line="580" w:lineRule="exact"/>
        <w:jc w:val="center"/>
        <w:rPr>
          <w:rFonts w:hint="default" w:ascii="Times New Roman" w:hAnsi="Times New Roman" w:cs="Times New Roman" w:eastAsiaTheme="minorEastAsia"/>
          <w:sz w:val="44"/>
          <w:szCs w:val="44"/>
        </w:rPr>
      </w:pPr>
    </w:p>
    <w:p>
      <w:pPr>
        <w:adjustRightInd w:val="0"/>
        <w:snapToGrid w:val="0"/>
        <w:spacing w:line="600" w:lineRule="exact"/>
        <w:ind w:firstLine="720"/>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zh-CN"/>
        </w:rPr>
        <w:t>项目概况</w:t>
      </w:r>
    </w:p>
    <w:p>
      <w:pPr>
        <w:adjustRightInd w:val="0"/>
        <w:snapToGrid w:val="0"/>
        <w:spacing w:line="600" w:lineRule="exact"/>
        <w:ind w:firstLine="720"/>
        <w:rPr>
          <w:rFonts w:hint="default" w:ascii="Times New Roman" w:hAnsi="Times New Roman" w:eastAsia="楷体" w:cs="Times New Roman"/>
          <w:b/>
          <w:bCs w:val="0"/>
          <w:sz w:val="32"/>
          <w:szCs w:val="32"/>
          <w:lang w:val="zh-CN"/>
        </w:rPr>
      </w:pPr>
      <w:r>
        <w:rPr>
          <w:rFonts w:hint="default" w:ascii="Times New Roman" w:hAnsi="Times New Roman" w:eastAsia="楷体" w:cs="Times New Roman"/>
          <w:b/>
          <w:bCs w:val="0"/>
          <w:sz w:val="32"/>
          <w:szCs w:val="32"/>
          <w:lang w:val="zh-CN"/>
        </w:rPr>
        <w:t>（一）项目基本情况</w:t>
      </w:r>
    </w:p>
    <w:p>
      <w:pPr>
        <w:autoSpaceDE w:val="0"/>
        <w:autoSpaceDN w:val="0"/>
        <w:adjustRightInd w:val="0"/>
        <w:spacing w:line="600" w:lineRule="exact"/>
        <w:ind w:firstLine="640" w:firstLineChars="200"/>
        <w:jc w:val="left"/>
        <w:rPr>
          <w:rFonts w:hint="default" w:ascii="Times New Roman" w:hAnsi="Times New Roman" w:eastAsia="仿宋" w:cs="Times New Roman"/>
          <w:b/>
          <w:bCs/>
          <w:color w:val="auto"/>
          <w:kern w:val="0"/>
          <w:sz w:val="32"/>
          <w:szCs w:val="32"/>
        </w:rPr>
      </w:pPr>
      <w:r>
        <w:rPr>
          <w:rFonts w:hint="default" w:ascii="Times New Roman" w:hAnsi="Times New Roman" w:eastAsia="仿宋" w:cs="Times New Roman"/>
          <w:sz w:val="32"/>
          <w:szCs w:val="32"/>
          <w:lang w:val="zh-CN"/>
        </w:rPr>
        <w:t>1．说明项目主管部门（单位）在该项目管理中的职能：</w:t>
      </w:r>
      <w:r>
        <w:rPr>
          <w:rFonts w:hint="default" w:ascii="Times New Roman" w:hAnsi="Times New Roman" w:eastAsia="仿宋" w:cs="Times New Roman"/>
          <w:color w:val="auto"/>
          <w:kern w:val="0"/>
          <w:sz w:val="32"/>
          <w:szCs w:val="32"/>
          <w:lang w:eastAsia="zh-CN"/>
        </w:rPr>
        <w:t>攀枝花市档案馆对</w:t>
      </w:r>
      <w:r>
        <w:rPr>
          <w:rFonts w:hint="default" w:ascii="Times New Roman" w:hAnsi="Times New Roman" w:eastAsia="仿宋" w:cs="Times New Roman"/>
          <w:color w:val="auto"/>
          <w:kern w:val="0"/>
          <w:sz w:val="32"/>
          <w:szCs w:val="32"/>
          <w:lang w:bidi="ar-SA"/>
        </w:rPr>
        <w:t>李国超艺术档案征集项目</w:t>
      </w:r>
      <w:r>
        <w:rPr>
          <w:rFonts w:hint="default" w:ascii="Times New Roman" w:hAnsi="Times New Roman" w:eastAsia="仿宋" w:cs="Times New Roman"/>
          <w:color w:val="auto"/>
          <w:kern w:val="0"/>
          <w:sz w:val="32"/>
          <w:szCs w:val="32"/>
          <w:lang w:eastAsia="zh-CN"/>
        </w:rPr>
        <w:t>负全部管理职责。</w:t>
      </w:r>
    </w:p>
    <w:p>
      <w:pPr>
        <w:autoSpaceDE w:val="0"/>
        <w:autoSpaceDN w:val="0"/>
        <w:adjustRightInd w:val="0"/>
        <w:spacing w:line="600" w:lineRule="exact"/>
        <w:ind w:firstLine="640" w:firstLineChars="200"/>
        <w:jc w:val="left"/>
        <w:rPr>
          <w:rFonts w:hint="default" w:ascii="Times New Roman" w:hAnsi="Times New Roman" w:eastAsia="仿宋" w:cs="Times New Roman"/>
          <w:color w:val="auto"/>
          <w:kern w:val="0"/>
          <w:sz w:val="32"/>
          <w:szCs w:val="32"/>
        </w:rPr>
      </w:pPr>
      <w:r>
        <w:rPr>
          <w:rFonts w:hint="default" w:ascii="Times New Roman" w:hAnsi="Times New Roman" w:eastAsia="仿宋" w:cs="Times New Roman"/>
          <w:sz w:val="32"/>
          <w:szCs w:val="32"/>
          <w:lang w:val="zh-CN"/>
        </w:rPr>
        <w:t>2．项目立项、资金申报的依据：</w:t>
      </w:r>
      <w:r>
        <w:rPr>
          <w:rFonts w:hint="default" w:ascii="Times New Roman" w:hAnsi="Times New Roman" w:eastAsia="仿宋" w:cs="Times New Roman"/>
          <w:color w:val="auto"/>
          <w:kern w:val="0"/>
          <w:sz w:val="32"/>
          <w:szCs w:val="32"/>
        </w:rPr>
        <w:t>征集李国超书画艺术作品发挥李国超书画艺术档案价值，彰显和弘扬市民群众爱攀情怀，提升攀枝花文化艺术底蕴。</w:t>
      </w:r>
    </w:p>
    <w:p>
      <w:pPr>
        <w:autoSpaceDE w:val="0"/>
        <w:autoSpaceDN w:val="0"/>
        <w:adjustRightInd w:val="0"/>
        <w:spacing w:line="600" w:lineRule="exact"/>
        <w:ind w:firstLine="640" w:firstLineChars="200"/>
        <w:jc w:val="left"/>
        <w:rPr>
          <w:rFonts w:hint="default" w:ascii="Times New Roman" w:hAnsi="Times New Roman" w:eastAsia="仿宋" w:cs="Times New Roman"/>
          <w:color w:val="auto"/>
          <w:kern w:val="2"/>
          <w:sz w:val="32"/>
          <w:szCs w:val="32"/>
        </w:rPr>
      </w:pPr>
      <w:r>
        <w:rPr>
          <w:rFonts w:hint="default" w:ascii="Times New Roman" w:hAnsi="Times New Roman" w:eastAsia="仿宋" w:cs="Times New Roman"/>
          <w:sz w:val="32"/>
          <w:szCs w:val="32"/>
          <w:lang w:val="zh-CN"/>
        </w:rPr>
        <w:t>3．资金管理办法制定情况，资金支持具体项目的条件、范围与支持方式概况：</w:t>
      </w:r>
      <w:r>
        <w:rPr>
          <w:rFonts w:hint="default" w:ascii="Times New Roman" w:hAnsi="Times New Roman" w:eastAsia="仿宋" w:cs="Times New Roman"/>
          <w:color w:val="auto"/>
          <w:kern w:val="2"/>
          <w:sz w:val="32"/>
          <w:szCs w:val="32"/>
          <w:lang w:eastAsia="zh-CN" w:bidi="ar-SA"/>
        </w:rPr>
        <w:t>市档案馆项目资金管理按照《攀枝花市档案馆关于印发</w:t>
      </w:r>
      <w:r>
        <w:rPr>
          <w:rFonts w:hint="default" w:ascii="Times New Roman" w:hAnsi="Times New Roman" w:eastAsia="仿宋" w:cs="Times New Roman"/>
          <w:color w:val="auto"/>
          <w:kern w:val="2"/>
          <w:sz w:val="32"/>
          <w:szCs w:val="32"/>
          <w:lang w:val="en-US" w:eastAsia="zh-CN" w:bidi="ar-SA"/>
        </w:rPr>
        <w:t>&lt;攀枝花市档案馆专项资金管理办法&gt;的通知</w:t>
      </w:r>
      <w:r>
        <w:rPr>
          <w:rFonts w:hint="default" w:ascii="Times New Roman" w:hAnsi="Times New Roman" w:eastAsia="仿宋" w:cs="Times New Roman"/>
          <w:color w:val="auto"/>
          <w:kern w:val="2"/>
          <w:sz w:val="32"/>
          <w:szCs w:val="32"/>
          <w:lang w:eastAsia="zh-CN" w:bidi="ar-SA"/>
        </w:rPr>
        <w:t>》执行。</w:t>
      </w:r>
      <w:r>
        <w:rPr>
          <w:rFonts w:hint="default" w:ascii="Times New Roman" w:hAnsi="Times New Roman" w:eastAsia="仿宋" w:cs="Times New Roman"/>
          <w:color w:val="auto"/>
          <w:sz w:val="32"/>
          <w:szCs w:val="32"/>
          <w:lang w:bidi="ar-SA"/>
        </w:rPr>
        <w:t>办公室负责专项资金预、决算上报工作，负责专项资金使用审批、监督与审查工作，负责专项资金支付计划上报和资金支付工作。专项资金申请科室负责专项资金的申请及报批工作，负责制定专项资金使用计划、建立专项资金使用台帐工作，负责专项资金使用验收、评价工作。</w:t>
      </w:r>
    </w:p>
    <w:p>
      <w:pPr>
        <w:autoSpaceDE w:val="0"/>
        <w:autoSpaceDN w:val="0"/>
        <w:adjustRightInd w:val="0"/>
        <w:spacing w:line="600" w:lineRule="exact"/>
        <w:ind w:firstLine="640" w:firstLineChars="200"/>
        <w:jc w:val="left"/>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lang w:val="zh-CN"/>
        </w:rPr>
        <w:t>4．资金分配的原则及考虑因素：</w:t>
      </w:r>
      <w:r>
        <w:rPr>
          <w:rFonts w:hint="default" w:ascii="Times New Roman" w:hAnsi="Times New Roman" w:eastAsia="仿宋" w:cs="Times New Roman"/>
          <w:color w:val="auto"/>
          <w:kern w:val="2"/>
          <w:sz w:val="32"/>
          <w:szCs w:val="32"/>
          <w:lang w:eastAsia="zh-CN" w:bidi="ar-SA"/>
        </w:rPr>
        <w:t>资金分配按项目实施进度及具体工作安排决定，要做到一是</w:t>
      </w:r>
      <w:r>
        <w:rPr>
          <w:rFonts w:hint="default" w:ascii="Times New Roman" w:hAnsi="Times New Roman" w:eastAsia="仿宋" w:cs="Times New Roman"/>
          <w:color w:val="auto"/>
          <w:sz w:val="32"/>
          <w:szCs w:val="32"/>
          <w:lang w:bidi="ar-SA"/>
        </w:rPr>
        <w:t>公开、公正、科学、高效;</w:t>
      </w:r>
      <w:r>
        <w:rPr>
          <w:rFonts w:hint="default" w:ascii="Times New Roman" w:hAnsi="Times New Roman" w:eastAsia="仿宋" w:cs="Times New Roman"/>
          <w:color w:val="auto"/>
          <w:sz w:val="32"/>
          <w:szCs w:val="32"/>
          <w:lang w:eastAsia="zh-CN" w:bidi="ar-SA"/>
        </w:rPr>
        <w:t>二是</w:t>
      </w:r>
      <w:r>
        <w:rPr>
          <w:rFonts w:hint="default" w:ascii="Times New Roman" w:hAnsi="Times New Roman" w:eastAsia="仿宋" w:cs="Times New Roman"/>
          <w:color w:val="auto"/>
          <w:sz w:val="32"/>
          <w:szCs w:val="32"/>
          <w:lang w:bidi="ar-SA"/>
        </w:rPr>
        <w:t>集中管理，突出重点；</w:t>
      </w:r>
      <w:r>
        <w:rPr>
          <w:rFonts w:hint="default" w:ascii="Times New Roman" w:hAnsi="Times New Roman" w:eastAsia="仿宋" w:cs="Times New Roman"/>
          <w:color w:val="auto"/>
          <w:sz w:val="32"/>
          <w:szCs w:val="32"/>
          <w:lang w:eastAsia="zh-CN" w:bidi="ar-SA"/>
        </w:rPr>
        <w:t>三是</w:t>
      </w:r>
      <w:r>
        <w:rPr>
          <w:rFonts w:hint="default" w:ascii="Times New Roman" w:hAnsi="Times New Roman" w:eastAsia="仿宋" w:cs="Times New Roman"/>
          <w:color w:val="auto"/>
          <w:sz w:val="32"/>
          <w:szCs w:val="32"/>
          <w:lang w:bidi="ar-SA"/>
        </w:rPr>
        <w:t>专款专用，独立核算；</w:t>
      </w:r>
      <w:r>
        <w:rPr>
          <w:rFonts w:hint="default" w:ascii="Times New Roman" w:hAnsi="Times New Roman" w:eastAsia="仿宋" w:cs="Times New Roman"/>
          <w:color w:val="auto"/>
          <w:sz w:val="32"/>
          <w:szCs w:val="32"/>
          <w:lang w:eastAsia="zh-CN" w:bidi="ar-SA"/>
        </w:rPr>
        <w:t>四是</w:t>
      </w:r>
      <w:r>
        <w:rPr>
          <w:rFonts w:hint="default" w:ascii="Times New Roman" w:hAnsi="Times New Roman" w:eastAsia="仿宋" w:cs="Times New Roman"/>
          <w:color w:val="auto"/>
          <w:sz w:val="32"/>
          <w:szCs w:val="32"/>
          <w:lang w:bidi="ar-SA"/>
        </w:rPr>
        <w:t>统一支付，严格把关；</w:t>
      </w:r>
      <w:r>
        <w:rPr>
          <w:rFonts w:hint="default" w:ascii="Times New Roman" w:hAnsi="Times New Roman" w:eastAsia="仿宋" w:cs="Times New Roman"/>
          <w:color w:val="auto"/>
          <w:sz w:val="32"/>
          <w:szCs w:val="32"/>
          <w:lang w:eastAsia="zh-CN" w:bidi="ar-SA"/>
        </w:rPr>
        <w:t>五是</w:t>
      </w:r>
      <w:r>
        <w:rPr>
          <w:rFonts w:hint="default" w:ascii="Times New Roman" w:hAnsi="Times New Roman" w:eastAsia="仿宋" w:cs="Times New Roman"/>
          <w:color w:val="auto"/>
          <w:sz w:val="32"/>
          <w:szCs w:val="32"/>
          <w:lang w:bidi="ar-SA"/>
        </w:rPr>
        <w:t>跟踪问效，责任追究。</w:t>
      </w:r>
    </w:p>
    <w:p>
      <w:pPr>
        <w:adjustRightInd w:val="0"/>
        <w:snapToGrid w:val="0"/>
        <w:spacing w:line="600" w:lineRule="exact"/>
        <w:ind w:firstLine="720"/>
        <w:rPr>
          <w:rFonts w:hint="default" w:ascii="Times New Roman" w:hAnsi="Times New Roman" w:eastAsia="楷体" w:cs="Times New Roman"/>
          <w:b/>
          <w:bCs w:val="0"/>
          <w:sz w:val="32"/>
          <w:szCs w:val="32"/>
          <w:lang w:val="zh-CN"/>
        </w:rPr>
      </w:pPr>
      <w:r>
        <w:rPr>
          <w:rFonts w:hint="default" w:ascii="Times New Roman" w:hAnsi="Times New Roman" w:eastAsia="楷体" w:cs="Times New Roman"/>
          <w:b/>
          <w:bCs w:val="0"/>
          <w:sz w:val="32"/>
          <w:szCs w:val="32"/>
          <w:lang w:val="zh-CN"/>
        </w:rPr>
        <w:t>（二）项目绩效目标</w:t>
      </w:r>
    </w:p>
    <w:p>
      <w:pPr>
        <w:autoSpaceDE w:val="0"/>
        <w:autoSpaceDN w:val="0"/>
        <w:adjustRightInd w:val="0"/>
        <w:spacing w:line="600" w:lineRule="exact"/>
        <w:ind w:firstLine="640" w:firstLineChars="200"/>
        <w:jc w:val="left"/>
        <w:rPr>
          <w:rFonts w:hint="default" w:ascii="Times New Roman" w:hAnsi="Times New Roman" w:eastAsia="仿宋" w:cs="Times New Roman"/>
          <w:color w:val="auto"/>
          <w:kern w:val="0"/>
          <w:sz w:val="32"/>
          <w:szCs w:val="32"/>
        </w:rPr>
      </w:pPr>
      <w:r>
        <w:rPr>
          <w:rFonts w:hint="default" w:ascii="Times New Roman" w:hAnsi="Times New Roman" w:eastAsia="仿宋" w:cs="Times New Roman"/>
          <w:sz w:val="32"/>
          <w:szCs w:val="32"/>
          <w:lang w:val="zh-CN"/>
        </w:rPr>
        <w:t>1．项目主要内容：</w:t>
      </w:r>
      <w:r>
        <w:rPr>
          <w:rFonts w:hint="default" w:ascii="Times New Roman" w:hAnsi="Times New Roman" w:eastAsia="仿宋" w:cs="Times New Roman"/>
          <w:color w:val="auto"/>
          <w:kern w:val="0"/>
          <w:sz w:val="32"/>
          <w:szCs w:val="32"/>
        </w:rPr>
        <w:t>征集李国超书画艺术作品</w:t>
      </w:r>
      <w:r>
        <w:rPr>
          <w:rFonts w:hint="default" w:ascii="Times New Roman" w:hAnsi="Times New Roman" w:eastAsia="仿宋" w:cs="Times New Roman"/>
          <w:color w:val="auto"/>
          <w:kern w:val="0"/>
          <w:sz w:val="32"/>
          <w:szCs w:val="32"/>
          <w:lang w:val="en-US" w:eastAsia="zh-CN"/>
        </w:rPr>
        <w:t>1600</w:t>
      </w:r>
      <w:r>
        <w:rPr>
          <w:rFonts w:hint="default" w:ascii="Times New Roman" w:hAnsi="Times New Roman" w:eastAsia="仿宋" w:cs="Times New Roman"/>
          <w:color w:val="auto"/>
          <w:kern w:val="0"/>
          <w:sz w:val="32"/>
          <w:szCs w:val="32"/>
        </w:rPr>
        <w:t>件并做好数字化扫描及装裱工作，建成艺术作品展厅1个，发挥李国超书画艺术档案价值，彰显和弘扬市民群众爱攀情怀，提升攀枝花文化艺术底蕴。</w:t>
      </w:r>
    </w:p>
    <w:p>
      <w:pPr>
        <w:autoSpaceDE w:val="0"/>
        <w:autoSpaceDN w:val="0"/>
        <w:adjustRightInd w:val="0"/>
        <w:spacing w:line="600" w:lineRule="exact"/>
        <w:ind w:firstLine="640" w:firstLineChars="200"/>
        <w:jc w:val="left"/>
        <w:rPr>
          <w:rFonts w:hint="default" w:ascii="Times New Roman" w:hAnsi="Times New Roman" w:eastAsia="仿宋" w:cs="Times New Roman"/>
          <w:color w:val="auto"/>
          <w:kern w:val="0"/>
          <w:sz w:val="32"/>
          <w:szCs w:val="32"/>
          <w:lang w:eastAsia="zh-CN"/>
        </w:rPr>
      </w:pPr>
      <w:r>
        <w:rPr>
          <w:rFonts w:hint="default" w:ascii="Times New Roman" w:hAnsi="Times New Roman" w:eastAsia="仿宋" w:cs="Times New Roman"/>
          <w:sz w:val="32"/>
          <w:szCs w:val="32"/>
          <w:lang w:val="zh-CN"/>
        </w:rPr>
        <w:t>2．</w:t>
      </w:r>
      <w:r>
        <w:rPr>
          <w:rFonts w:hint="default" w:ascii="Times New Roman" w:hAnsi="Times New Roman" w:eastAsia="仿宋" w:cs="Times New Roman"/>
          <w:color w:val="000000" w:themeColor="text1"/>
          <w:sz w:val="32"/>
          <w:szCs w:val="32"/>
          <w:lang w:val="zh-CN"/>
          <w14:textFill>
            <w14:solidFill>
              <w14:schemeClr w14:val="tx1"/>
            </w14:solidFill>
          </w14:textFill>
        </w:rPr>
        <w:t>项目应实现的具体绩效目标，包括目标的量化、细化情况以及项目实施进度计划等：</w:t>
      </w:r>
      <w:r>
        <w:rPr>
          <w:rFonts w:hint="default" w:ascii="Times New Roman" w:hAnsi="Times New Roman" w:eastAsia="仿宋" w:cs="Times New Roman"/>
          <w:color w:val="auto"/>
          <w:kern w:val="0"/>
          <w:sz w:val="32"/>
          <w:szCs w:val="32"/>
          <w:lang w:eastAsia="zh-CN"/>
        </w:rPr>
        <w:t>项目应于</w:t>
      </w:r>
      <w:r>
        <w:rPr>
          <w:rFonts w:hint="default" w:ascii="Times New Roman" w:hAnsi="Times New Roman" w:eastAsia="仿宋" w:cs="Times New Roman"/>
          <w:color w:val="auto"/>
          <w:kern w:val="0"/>
          <w:sz w:val="32"/>
          <w:szCs w:val="32"/>
          <w:lang w:val="en-US" w:eastAsia="zh-CN"/>
        </w:rPr>
        <w:t>2021年11月前完成</w:t>
      </w:r>
      <w:r>
        <w:rPr>
          <w:rFonts w:hint="default" w:ascii="Times New Roman" w:hAnsi="Times New Roman" w:eastAsia="仿宋" w:cs="Times New Roman"/>
          <w:b w:val="0"/>
          <w:bCs w:val="0"/>
          <w:color w:val="auto"/>
          <w:sz w:val="32"/>
          <w:szCs w:val="32"/>
        </w:rPr>
        <w:t>李国超艺术档案征集、装裱、数字化1600余件及145平方米书画艺术作品展厅建设；</w:t>
      </w:r>
      <w:r>
        <w:rPr>
          <w:rFonts w:hint="default" w:ascii="Times New Roman" w:hAnsi="Times New Roman" w:eastAsia="仿宋" w:cs="Times New Roman"/>
          <w:b w:val="0"/>
          <w:bCs w:val="0"/>
          <w:color w:val="auto"/>
          <w:sz w:val="32"/>
          <w:szCs w:val="32"/>
          <w:lang w:eastAsia="zh-CN"/>
        </w:rPr>
        <w:t>所征集档案满足档案规范化管理要求，达到市档案馆档案接收进馆双套制要求；并且能够带来良好的社会效益，能够彰显和弘扬市民群众爱攀情怀，提升攀枝花文化艺术底蕴。</w:t>
      </w:r>
    </w:p>
    <w:p>
      <w:pPr>
        <w:autoSpaceDE w:val="0"/>
        <w:autoSpaceDN w:val="0"/>
        <w:adjustRightInd w:val="0"/>
        <w:spacing w:line="600" w:lineRule="exact"/>
        <w:ind w:firstLine="640" w:firstLineChars="200"/>
        <w:jc w:val="left"/>
        <w:rPr>
          <w:rFonts w:hint="default" w:ascii="Times New Roman" w:hAnsi="Times New Roman" w:eastAsia="仿宋" w:cs="Times New Roman"/>
          <w:color w:val="auto"/>
          <w:kern w:val="0"/>
          <w:sz w:val="32"/>
          <w:szCs w:val="32"/>
        </w:rPr>
      </w:pPr>
      <w:r>
        <w:rPr>
          <w:rFonts w:hint="default" w:ascii="Times New Roman" w:hAnsi="Times New Roman" w:eastAsia="仿宋" w:cs="Times New Roman"/>
          <w:sz w:val="32"/>
          <w:szCs w:val="32"/>
          <w:lang w:val="zh-CN"/>
        </w:rPr>
        <w:t>3．</w:t>
      </w:r>
      <w:r>
        <w:rPr>
          <w:rFonts w:hint="default" w:ascii="Times New Roman" w:hAnsi="Times New Roman" w:eastAsia="仿宋" w:cs="Times New Roman"/>
          <w:color w:val="auto"/>
          <w:kern w:val="2"/>
          <w:sz w:val="32"/>
          <w:szCs w:val="32"/>
          <w:lang w:eastAsia="zh-CN"/>
        </w:rPr>
        <w:t>预算申报内容与实际相符，申报目标合理。</w:t>
      </w:r>
    </w:p>
    <w:p>
      <w:pPr>
        <w:adjustRightInd w:val="0"/>
        <w:snapToGrid w:val="0"/>
        <w:spacing w:line="600" w:lineRule="exact"/>
        <w:ind w:firstLine="720"/>
        <w:rPr>
          <w:rFonts w:hint="default" w:ascii="Times New Roman" w:hAnsi="Times New Roman" w:eastAsia="楷体" w:cs="Times New Roman"/>
          <w:b/>
          <w:bCs w:val="0"/>
          <w:sz w:val="32"/>
          <w:szCs w:val="32"/>
          <w:lang w:val="zh-CN"/>
        </w:rPr>
      </w:pPr>
      <w:r>
        <w:rPr>
          <w:rFonts w:hint="default" w:ascii="Times New Roman" w:hAnsi="Times New Roman" w:eastAsia="楷体" w:cs="Times New Roman"/>
          <w:b/>
          <w:bCs w:val="0"/>
          <w:sz w:val="32"/>
          <w:szCs w:val="32"/>
          <w:lang w:val="zh-CN"/>
        </w:rPr>
        <w:t>（三）项目自评步骤及方法</w:t>
      </w:r>
    </w:p>
    <w:p>
      <w:pPr>
        <w:adjustRightInd w:val="0"/>
        <w:snapToGrid w:val="0"/>
        <w:spacing w:line="600" w:lineRule="exact"/>
        <w:ind w:firstLine="720"/>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lang w:val="zh-CN"/>
        </w:rPr>
        <w:t>说明项目绩效自评采用的组织实施步骤及方法：由单位主要负责人、分管领导、业务科室、业务经办人员、办公室主任及财务人员根据项目运行具体阶段以会议形式对项目进行自评。</w:t>
      </w:r>
    </w:p>
    <w:p>
      <w:pPr>
        <w:adjustRightInd w:val="0"/>
        <w:snapToGrid w:val="0"/>
        <w:spacing w:line="600" w:lineRule="exact"/>
        <w:ind w:firstLine="72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二、项目资金申报及使用情况</w:t>
      </w:r>
    </w:p>
    <w:p>
      <w:pPr>
        <w:autoSpaceDE w:val="0"/>
        <w:autoSpaceDN w:val="0"/>
        <w:adjustRightInd w:val="0"/>
        <w:spacing w:line="600" w:lineRule="exact"/>
        <w:ind w:firstLine="642" w:firstLineChars="200"/>
        <w:jc w:val="left"/>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rPr>
        <w:t>（一）项目资金申报及批复情况</w:t>
      </w:r>
    </w:p>
    <w:p>
      <w:pPr>
        <w:autoSpaceDE w:val="0"/>
        <w:autoSpaceDN w:val="0"/>
        <w:adjustRightInd w:val="0"/>
        <w:spacing w:line="600" w:lineRule="exact"/>
        <w:ind w:firstLine="640" w:firstLineChars="200"/>
        <w:jc w:val="left"/>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2"/>
          <w:sz w:val="32"/>
          <w:szCs w:val="32"/>
          <w:lang w:eastAsia="zh-CN"/>
        </w:rPr>
        <w:t>李国超艺术档案征集</w:t>
      </w:r>
      <w:r>
        <w:rPr>
          <w:rFonts w:hint="default" w:ascii="Times New Roman" w:hAnsi="Times New Roman" w:eastAsia="仿宋" w:cs="Times New Roman"/>
          <w:color w:val="auto"/>
          <w:kern w:val="2"/>
          <w:sz w:val="32"/>
          <w:szCs w:val="32"/>
        </w:rPr>
        <w:t>项目资金申报</w:t>
      </w:r>
      <w:r>
        <w:rPr>
          <w:rFonts w:hint="default" w:ascii="Times New Roman" w:hAnsi="Times New Roman" w:eastAsia="仿宋" w:cs="Times New Roman"/>
          <w:color w:val="auto"/>
          <w:kern w:val="2"/>
          <w:sz w:val="32"/>
          <w:szCs w:val="32"/>
          <w:lang w:val="en-US" w:eastAsia="zh-CN"/>
        </w:rPr>
        <w:t>57万元</w:t>
      </w:r>
      <w:r>
        <w:rPr>
          <w:rFonts w:hint="default" w:ascii="Times New Roman" w:hAnsi="Times New Roman" w:eastAsia="仿宋" w:cs="Times New Roman"/>
          <w:color w:val="auto"/>
          <w:kern w:val="2"/>
          <w:sz w:val="32"/>
          <w:szCs w:val="32"/>
        </w:rPr>
        <w:t>、</w:t>
      </w:r>
      <w:r>
        <w:rPr>
          <w:rFonts w:hint="default" w:ascii="Times New Roman" w:hAnsi="Times New Roman" w:eastAsia="仿宋" w:cs="Times New Roman"/>
          <w:color w:val="auto"/>
          <w:kern w:val="2"/>
          <w:sz w:val="32"/>
          <w:szCs w:val="32"/>
          <w:lang w:eastAsia="zh-CN"/>
        </w:rPr>
        <w:t>年初预算批复</w:t>
      </w:r>
      <w:r>
        <w:rPr>
          <w:rFonts w:hint="default" w:ascii="Times New Roman" w:hAnsi="Times New Roman" w:eastAsia="仿宋" w:cs="Times New Roman"/>
          <w:color w:val="auto"/>
          <w:kern w:val="2"/>
          <w:sz w:val="32"/>
          <w:szCs w:val="32"/>
          <w:lang w:val="en-US" w:eastAsia="zh-CN"/>
        </w:rPr>
        <w:t>57万元，预算指标追减8.05万元，实现预算支付48.95万元</w:t>
      </w:r>
      <w:r>
        <w:rPr>
          <w:rFonts w:hint="default" w:ascii="Times New Roman" w:hAnsi="Times New Roman" w:eastAsia="仿宋" w:cs="Times New Roman"/>
          <w:color w:val="auto"/>
          <w:kern w:val="2"/>
          <w:sz w:val="32"/>
          <w:szCs w:val="32"/>
        </w:rPr>
        <w:t>。</w:t>
      </w:r>
    </w:p>
    <w:p>
      <w:pPr>
        <w:autoSpaceDE w:val="0"/>
        <w:autoSpaceDN w:val="0"/>
        <w:adjustRightInd w:val="0"/>
        <w:spacing w:line="600" w:lineRule="exact"/>
        <w:ind w:firstLine="642" w:firstLineChars="200"/>
        <w:jc w:val="left"/>
        <w:rPr>
          <w:rFonts w:hint="default" w:ascii="Times New Roman" w:hAnsi="Times New Roman" w:eastAsia="楷体" w:cs="Times New Roman"/>
          <w:b/>
          <w:bCs/>
          <w:color w:val="auto"/>
          <w:kern w:val="0"/>
          <w:sz w:val="32"/>
          <w:szCs w:val="32"/>
        </w:rPr>
      </w:pPr>
      <w:r>
        <w:rPr>
          <w:rFonts w:hint="default" w:ascii="Times New Roman" w:hAnsi="Times New Roman" w:eastAsia="楷体" w:cs="Times New Roman"/>
          <w:b/>
          <w:bCs/>
          <w:color w:val="auto"/>
          <w:kern w:val="0"/>
          <w:sz w:val="32"/>
          <w:szCs w:val="32"/>
        </w:rPr>
        <w:t>（二）资金计划、到位及使用情况</w:t>
      </w:r>
    </w:p>
    <w:tbl>
      <w:tblPr>
        <w:tblStyle w:val="13"/>
        <w:tblpPr w:leftFromText="180" w:rightFromText="180" w:vertAnchor="text" w:horzAnchor="page" w:tblpX="1425" w:tblpY="528"/>
        <w:tblOverlap w:val="never"/>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3" w:type="dxa"/>
            <w:gridSpan w:val="2"/>
            <w:noWrap w:val="0"/>
            <w:vAlign w:val="top"/>
          </w:tcPr>
          <w:p>
            <w:pPr>
              <w:autoSpaceDE w:val="0"/>
              <w:autoSpaceDN w:val="0"/>
              <w:adjustRightInd w:val="0"/>
              <w:spacing w:line="600" w:lineRule="exact"/>
              <w:jc w:val="center"/>
              <w:rPr>
                <w:rFonts w:hint="default" w:ascii="Times New Roman" w:hAnsi="Times New Roman" w:eastAsia="仿宋" w:cs="Times New Roman"/>
                <w:color w:val="auto"/>
                <w:kern w:val="0"/>
                <w:sz w:val="32"/>
                <w:szCs w:val="32"/>
                <w:vertAlign w:val="baseline"/>
              </w:rPr>
            </w:pPr>
            <w:r>
              <w:rPr>
                <w:rFonts w:hint="default" w:ascii="Times New Roman" w:hAnsi="Times New Roman" w:eastAsia="仿宋" w:cs="Times New Roman"/>
                <w:color w:val="auto"/>
                <w:kern w:val="0"/>
                <w:sz w:val="32"/>
                <w:szCs w:val="32"/>
                <w:vertAlign w:val="baseline"/>
                <w:lang w:eastAsia="zh-CN"/>
              </w:rPr>
              <w:t>李国超艺术档案征集项目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noWrap w:val="0"/>
            <w:vAlign w:val="top"/>
          </w:tcPr>
          <w:p>
            <w:p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lang w:eastAsia="zh-CN"/>
              </w:rPr>
            </w:pPr>
            <w:r>
              <w:rPr>
                <w:rFonts w:hint="default" w:ascii="Times New Roman" w:hAnsi="Times New Roman" w:eastAsia="仿宋" w:cs="Times New Roman"/>
                <w:color w:val="auto"/>
                <w:kern w:val="0"/>
                <w:sz w:val="32"/>
                <w:szCs w:val="32"/>
                <w:vertAlign w:val="baseline"/>
                <w:lang w:eastAsia="zh-CN"/>
              </w:rPr>
              <w:t>资金计划</w:t>
            </w:r>
          </w:p>
        </w:tc>
        <w:tc>
          <w:tcPr>
            <w:tcW w:w="7985" w:type="dxa"/>
            <w:noWrap w:val="0"/>
            <w:vAlign w:val="top"/>
          </w:tcPr>
          <w:p>
            <w:p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rPr>
            </w:pPr>
            <w:r>
              <w:rPr>
                <w:rFonts w:hint="default" w:ascii="Times New Roman" w:hAnsi="Times New Roman" w:eastAsia="仿宋" w:cs="Times New Roman"/>
                <w:color w:val="auto"/>
                <w:kern w:val="0"/>
                <w:sz w:val="32"/>
                <w:szCs w:val="32"/>
                <w:vertAlign w:val="baseline"/>
                <w:lang w:eastAsia="zh-CN"/>
              </w:rPr>
              <w:t>市财政全额拨款</w:t>
            </w:r>
            <w:r>
              <w:rPr>
                <w:rFonts w:hint="default" w:ascii="Times New Roman" w:hAnsi="Times New Roman" w:eastAsia="仿宋" w:cs="Times New Roman"/>
                <w:color w:val="auto"/>
                <w:kern w:val="0"/>
                <w:sz w:val="32"/>
                <w:szCs w:val="32"/>
                <w:vertAlign w:val="baseline"/>
                <w:lang w:val="en-US" w:eastAsia="zh-CN"/>
              </w:rPr>
              <w:t>57万元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noWrap w:val="0"/>
            <w:vAlign w:val="top"/>
          </w:tcPr>
          <w:p>
            <w:p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lang w:eastAsia="zh-CN"/>
              </w:rPr>
            </w:pPr>
            <w:r>
              <w:rPr>
                <w:rFonts w:hint="default" w:ascii="Times New Roman" w:hAnsi="Times New Roman" w:eastAsia="仿宋" w:cs="Times New Roman"/>
                <w:color w:val="auto"/>
                <w:kern w:val="0"/>
                <w:sz w:val="32"/>
                <w:szCs w:val="32"/>
                <w:vertAlign w:val="baseline"/>
                <w:lang w:eastAsia="zh-CN"/>
              </w:rPr>
              <w:t>资金到位</w:t>
            </w:r>
          </w:p>
        </w:tc>
        <w:tc>
          <w:tcPr>
            <w:tcW w:w="7985" w:type="dxa"/>
            <w:noWrap w:val="0"/>
            <w:vAlign w:val="top"/>
          </w:tcPr>
          <w:p>
            <w:p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rPr>
            </w:pPr>
            <w:r>
              <w:rPr>
                <w:rFonts w:hint="default" w:ascii="Times New Roman" w:hAnsi="Times New Roman" w:eastAsia="仿宋" w:cs="Times New Roman"/>
                <w:color w:val="auto"/>
                <w:kern w:val="0"/>
                <w:sz w:val="32"/>
                <w:szCs w:val="32"/>
                <w:vertAlign w:val="baseline"/>
                <w:lang w:val="en-US" w:eastAsia="zh-CN"/>
              </w:rPr>
              <w:t>2021年预算批复下达李国超艺术档案征集项目经费57万元，</w:t>
            </w:r>
            <w:r>
              <w:rPr>
                <w:rFonts w:hint="default" w:ascii="Times New Roman" w:hAnsi="Times New Roman" w:eastAsia="仿宋" w:cs="Times New Roman"/>
                <w:color w:val="auto"/>
                <w:kern w:val="2"/>
                <w:sz w:val="32"/>
                <w:szCs w:val="32"/>
                <w:lang w:val="en-US" w:eastAsia="zh-CN"/>
              </w:rPr>
              <w:t>预算指标追减8.05万元，实现预算支付48.95万元</w:t>
            </w:r>
            <w:r>
              <w:rPr>
                <w:rFonts w:hint="default" w:ascii="Times New Roman" w:hAnsi="Times New Roman" w:eastAsia="仿宋" w:cs="Times New Roman"/>
                <w:color w:val="auto"/>
                <w:kern w:val="0"/>
                <w:sz w:val="32"/>
                <w:szCs w:val="32"/>
                <w:vertAlign w:val="baseline"/>
                <w:lang w:val="en-US" w:eastAsia="zh-CN"/>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8" w:type="dxa"/>
            <w:noWrap w:val="0"/>
            <w:vAlign w:val="top"/>
          </w:tcPr>
          <w:p>
            <w:p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lang w:eastAsia="zh-CN"/>
              </w:rPr>
            </w:pPr>
            <w:r>
              <w:rPr>
                <w:rFonts w:hint="default" w:ascii="Times New Roman" w:hAnsi="Times New Roman" w:eastAsia="仿宋" w:cs="Times New Roman"/>
                <w:color w:val="auto"/>
                <w:kern w:val="0"/>
                <w:sz w:val="32"/>
                <w:szCs w:val="32"/>
                <w:vertAlign w:val="baseline"/>
                <w:lang w:eastAsia="zh-CN"/>
              </w:rPr>
              <w:t>资金使用</w:t>
            </w:r>
          </w:p>
        </w:tc>
        <w:tc>
          <w:tcPr>
            <w:tcW w:w="7985" w:type="dxa"/>
            <w:noWrap w:val="0"/>
            <w:vAlign w:val="top"/>
          </w:tcPr>
          <w:p>
            <w:p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rPr>
            </w:pPr>
            <w:r>
              <w:rPr>
                <w:rFonts w:hint="default" w:ascii="Times New Roman" w:hAnsi="Times New Roman" w:eastAsia="仿宋" w:cs="Times New Roman"/>
                <w:color w:val="auto"/>
                <w:kern w:val="0"/>
                <w:sz w:val="32"/>
                <w:szCs w:val="32"/>
                <w:vertAlign w:val="baseline"/>
                <w:lang w:val="en-US" w:eastAsia="zh-CN"/>
              </w:rPr>
              <w:t>2021年预算支出共计48.05万元，用于李国超艺术档案征集差旅费，艺术价值鉴定会议费，档案捐赠奖励，数字化整理，装裱及展厅建设等费用。</w:t>
            </w:r>
            <w:r>
              <w:rPr>
                <w:rFonts w:hint="default" w:ascii="Times New Roman" w:hAnsi="Times New Roman" w:eastAsia="仿宋" w:cs="Times New Roman"/>
                <w:color w:val="auto"/>
                <w:kern w:val="0"/>
                <w:sz w:val="32"/>
                <w:szCs w:val="32"/>
              </w:rPr>
              <w:t>支付范围、支付标准、支付进度、支付依据合规合法</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与预算相符</w:t>
            </w:r>
            <w:r>
              <w:rPr>
                <w:rFonts w:hint="default" w:ascii="Times New Roman" w:hAnsi="Times New Roman" w:eastAsia="仿宋" w:cs="Times New Roman"/>
                <w:color w:val="auto"/>
                <w:kern w:val="0"/>
                <w:sz w:val="32"/>
                <w:szCs w:val="32"/>
                <w:lang w:eastAsia="zh-CN"/>
              </w:rPr>
              <w:t>。</w:t>
            </w:r>
          </w:p>
        </w:tc>
      </w:tr>
    </w:tbl>
    <w:p>
      <w:pPr>
        <w:autoSpaceDE w:val="0"/>
        <w:autoSpaceDN w:val="0"/>
        <w:adjustRightInd w:val="0"/>
        <w:spacing w:line="600" w:lineRule="exact"/>
        <w:ind w:firstLine="642" w:firstLineChars="200"/>
        <w:jc w:val="left"/>
        <w:rPr>
          <w:rFonts w:hint="default" w:ascii="Times New Roman" w:hAnsi="Times New Roman" w:eastAsia="楷体" w:cs="Times New Roman"/>
          <w:b/>
          <w:bCs/>
          <w:color w:val="auto"/>
          <w:kern w:val="0"/>
          <w:sz w:val="32"/>
          <w:szCs w:val="32"/>
        </w:rPr>
      </w:pPr>
      <w:r>
        <w:rPr>
          <w:rFonts w:hint="default" w:ascii="Times New Roman" w:hAnsi="Times New Roman" w:eastAsia="楷体" w:cs="Times New Roman"/>
          <w:b/>
          <w:bCs/>
          <w:color w:val="auto"/>
          <w:kern w:val="0"/>
          <w:sz w:val="32"/>
          <w:szCs w:val="32"/>
        </w:rPr>
        <w:t>（三）项目财务管理情况</w:t>
      </w:r>
    </w:p>
    <w:p>
      <w:pPr>
        <w:autoSpaceDE w:val="0"/>
        <w:autoSpaceDN w:val="0"/>
        <w:adjustRightInd w:val="0"/>
        <w:spacing w:line="600" w:lineRule="exact"/>
        <w:ind w:firstLine="640" w:firstLineChars="200"/>
        <w:jc w:val="left"/>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总体评价各项目实施单位财务管理制度是否健全，是否严格执行财务管理制度，账务处理是否及时，会计核算是否规范等。</w:t>
      </w:r>
      <w:r>
        <w:rPr>
          <w:rFonts w:hint="default" w:ascii="Times New Roman" w:hAnsi="Times New Roman" w:eastAsia="仿宋" w:cs="Times New Roman"/>
          <w:color w:val="auto"/>
          <w:kern w:val="2"/>
          <w:sz w:val="32"/>
          <w:szCs w:val="32"/>
          <w:lang w:eastAsia="zh-CN" w:bidi="ar-SA"/>
        </w:rPr>
        <w:t>市档案馆项目资金管理按照《攀枝花市档案馆关于印发</w:t>
      </w:r>
      <w:r>
        <w:rPr>
          <w:rFonts w:hint="default" w:ascii="Times New Roman" w:hAnsi="Times New Roman" w:eastAsia="仿宋" w:cs="Times New Roman"/>
          <w:color w:val="auto"/>
          <w:kern w:val="2"/>
          <w:sz w:val="32"/>
          <w:szCs w:val="32"/>
          <w:lang w:val="en-US" w:eastAsia="zh-CN" w:bidi="ar-SA"/>
        </w:rPr>
        <w:t>&lt;攀枝花市档案馆专项资金管理办法&gt;的通知</w:t>
      </w:r>
      <w:r>
        <w:rPr>
          <w:rFonts w:hint="default" w:ascii="Times New Roman" w:hAnsi="Times New Roman" w:eastAsia="仿宋" w:cs="Times New Roman"/>
          <w:color w:val="auto"/>
          <w:kern w:val="2"/>
          <w:sz w:val="32"/>
          <w:szCs w:val="32"/>
          <w:lang w:eastAsia="zh-CN" w:bidi="ar-SA"/>
        </w:rPr>
        <w:t>》及《攀枝花市档案馆财务审批及报销办法》执行，严格执行财务管理制度，履行关键节点职责，账务处理及时，会计核算规范</w:t>
      </w:r>
    </w:p>
    <w:p>
      <w:pPr>
        <w:adjustRightInd w:val="0"/>
        <w:snapToGrid w:val="0"/>
        <w:spacing w:line="600" w:lineRule="exact"/>
        <w:ind w:firstLine="72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三、项目实施及管理情况</w:t>
      </w:r>
    </w:p>
    <w:p>
      <w:pPr>
        <w:adjustRightInd w:val="0"/>
        <w:snapToGrid w:val="0"/>
        <w:spacing w:line="600" w:lineRule="exact"/>
        <w:ind w:firstLine="720"/>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lang w:val="zh-CN"/>
        </w:rPr>
        <w:t>结合项目组织实施管理办法，重点围绕以下内容进行分析评价，并对自评中发现的问题分析说明。</w:t>
      </w:r>
    </w:p>
    <w:p>
      <w:pPr>
        <w:numPr>
          <w:ilvl w:val="0"/>
          <w:numId w:val="3"/>
        </w:numPr>
        <w:adjustRightInd w:val="0"/>
        <w:snapToGrid w:val="0"/>
        <w:spacing w:line="600" w:lineRule="exact"/>
        <w:ind w:firstLine="720"/>
        <w:rPr>
          <w:rFonts w:hint="default" w:ascii="Times New Roman" w:hAnsi="Times New Roman" w:eastAsia="楷体" w:cs="Times New Roman"/>
          <w:b/>
          <w:bCs w:val="0"/>
          <w:sz w:val="32"/>
          <w:szCs w:val="32"/>
          <w:lang w:val="zh-CN"/>
        </w:rPr>
      </w:pPr>
      <w:r>
        <w:rPr>
          <w:rFonts w:hint="default" w:ascii="Times New Roman" w:hAnsi="Times New Roman" w:eastAsia="楷体" w:cs="Times New Roman"/>
          <w:b/>
          <w:bCs w:val="0"/>
          <w:sz w:val="32"/>
          <w:szCs w:val="32"/>
          <w:lang w:val="zh-CN"/>
        </w:rPr>
        <w:t>项目组织架构及实施流程</w:t>
      </w:r>
    </w:p>
    <w:tbl>
      <w:tblPr>
        <w:tblStyle w:val="13"/>
        <w:tblpPr w:leftFromText="180" w:rightFromText="180" w:vertAnchor="text" w:horzAnchor="page" w:tblpX="1459" w:tblpY="560"/>
        <w:tblOverlap w:val="never"/>
        <w:tblW w:w="9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7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6" w:type="dxa"/>
            <w:gridSpan w:val="2"/>
            <w:noWrap w:val="0"/>
            <w:vAlign w:val="top"/>
          </w:tcPr>
          <w:p>
            <w:pPr>
              <w:numPr>
                <w:ilvl w:val="0"/>
                <w:numId w:val="0"/>
              </w:numPr>
              <w:autoSpaceDE w:val="0"/>
              <w:autoSpaceDN w:val="0"/>
              <w:adjustRightInd w:val="0"/>
              <w:spacing w:line="600" w:lineRule="exact"/>
              <w:jc w:val="center"/>
              <w:rPr>
                <w:rFonts w:hint="default" w:ascii="Times New Roman" w:hAnsi="Times New Roman" w:eastAsia="仿宋" w:cs="Times New Roman"/>
                <w:color w:val="auto"/>
                <w:kern w:val="0"/>
                <w:sz w:val="32"/>
                <w:szCs w:val="32"/>
                <w:vertAlign w:val="baseline"/>
                <w:lang w:val="en-US" w:eastAsia="zh-CN"/>
              </w:rPr>
            </w:pPr>
            <w:r>
              <w:rPr>
                <w:rFonts w:hint="default" w:ascii="Times New Roman" w:hAnsi="Times New Roman" w:eastAsia="仿宋" w:cs="Times New Roman"/>
                <w:color w:val="auto"/>
                <w:kern w:val="0"/>
                <w:sz w:val="32"/>
                <w:szCs w:val="32"/>
                <w:vertAlign w:val="baseline"/>
                <w:lang w:val="en-US" w:eastAsia="zh-CN"/>
              </w:rPr>
              <w:t>李国超艺术档案征集项目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noWrap w:val="0"/>
            <w:vAlign w:val="top"/>
          </w:tcPr>
          <w:p>
            <w:pPr>
              <w:numPr>
                <w:ilvl w:val="0"/>
                <w:numId w:val="0"/>
              </w:num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lang w:val="en-US" w:eastAsia="zh-CN"/>
              </w:rPr>
            </w:pPr>
            <w:r>
              <w:rPr>
                <w:rFonts w:hint="default" w:ascii="Times New Roman" w:hAnsi="Times New Roman" w:eastAsia="仿宋" w:cs="Times New Roman"/>
                <w:color w:val="auto"/>
                <w:kern w:val="0"/>
                <w:sz w:val="32"/>
                <w:szCs w:val="32"/>
                <w:vertAlign w:val="baseline"/>
                <w:lang w:val="en-US" w:eastAsia="zh-CN"/>
              </w:rPr>
              <w:t>1.明确目标任务</w:t>
            </w:r>
          </w:p>
        </w:tc>
        <w:tc>
          <w:tcPr>
            <w:tcW w:w="7700" w:type="dxa"/>
            <w:noWrap w:val="0"/>
            <w:vAlign w:val="top"/>
          </w:tcPr>
          <w:p>
            <w:pPr>
              <w:numPr>
                <w:ilvl w:val="0"/>
                <w:numId w:val="0"/>
              </w:num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rPr>
            </w:pPr>
            <w:r>
              <w:rPr>
                <w:rFonts w:hint="default" w:ascii="Times New Roman" w:hAnsi="Times New Roman" w:eastAsia="仿宋" w:cs="Times New Roman"/>
                <w:color w:val="auto"/>
                <w:kern w:val="0"/>
                <w:sz w:val="32"/>
                <w:szCs w:val="32"/>
              </w:rPr>
              <w:t>征集李国超书画艺术作品</w:t>
            </w:r>
            <w:r>
              <w:rPr>
                <w:rFonts w:hint="default" w:ascii="Times New Roman" w:hAnsi="Times New Roman" w:eastAsia="仿宋" w:cs="Times New Roman"/>
                <w:color w:val="auto"/>
                <w:kern w:val="0"/>
                <w:sz w:val="32"/>
                <w:szCs w:val="32"/>
                <w:lang w:val="en-US" w:eastAsia="zh-CN"/>
              </w:rPr>
              <w:t>1600</w:t>
            </w:r>
            <w:r>
              <w:rPr>
                <w:rFonts w:hint="default" w:ascii="Times New Roman" w:hAnsi="Times New Roman" w:eastAsia="仿宋" w:cs="Times New Roman"/>
                <w:color w:val="auto"/>
                <w:kern w:val="0"/>
                <w:sz w:val="32"/>
                <w:szCs w:val="32"/>
              </w:rPr>
              <w:t>件并做好数字化扫描及装裱工作，建成艺术作品展厅1个，发挥李国超书画艺术档案价值，彰显和弘扬市民群众爱攀情怀，提升攀枝花文化艺术底蕴。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noWrap w:val="0"/>
            <w:vAlign w:val="top"/>
          </w:tcPr>
          <w:p>
            <w:pPr>
              <w:numPr>
                <w:ilvl w:val="0"/>
                <w:numId w:val="0"/>
              </w:num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lang w:val="en-US" w:eastAsia="zh-CN"/>
              </w:rPr>
            </w:pPr>
            <w:r>
              <w:rPr>
                <w:rFonts w:hint="default" w:ascii="Times New Roman" w:hAnsi="Times New Roman" w:eastAsia="仿宋" w:cs="Times New Roman"/>
                <w:color w:val="auto"/>
                <w:kern w:val="0"/>
                <w:sz w:val="32"/>
                <w:szCs w:val="32"/>
                <w:vertAlign w:val="baseline"/>
                <w:lang w:val="en-US" w:eastAsia="zh-CN"/>
              </w:rPr>
              <w:t>2.明确责任科室</w:t>
            </w:r>
          </w:p>
        </w:tc>
        <w:tc>
          <w:tcPr>
            <w:tcW w:w="7700" w:type="dxa"/>
            <w:noWrap w:val="0"/>
            <w:vAlign w:val="top"/>
          </w:tcPr>
          <w:p>
            <w:pPr>
              <w:numPr>
                <w:ilvl w:val="0"/>
                <w:numId w:val="0"/>
              </w:num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lang w:val="en-US" w:eastAsia="zh-CN"/>
              </w:rPr>
            </w:pPr>
            <w:r>
              <w:rPr>
                <w:rFonts w:hint="default" w:ascii="Times New Roman" w:hAnsi="Times New Roman" w:eastAsia="仿宋" w:cs="Times New Roman"/>
                <w:color w:val="auto"/>
                <w:kern w:val="0"/>
                <w:sz w:val="32"/>
                <w:szCs w:val="32"/>
                <w:vertAlign w:val="baseline"/>
                <w:lang w:val="en-US" w:eastAsia="zh-CN"/>
              </w:rPr>
              <w:t>李国超艺术档案征集工作由征集整理牵头，档案编研科为主要配合科室，办公室负责资金支付。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6" w:type="dxa"/>
            <w:noWrap w:val="0"/>
            <w:vAlign w:val="top"/>
          </w:tcPr>
          <w:p>
            <w:pPr>
              <w:numPr>
                <w:ilvl w:val="0"/>
                <w:numId w:val="0"/>
              </w:num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rPr>
            </w:pPr>
            <w:r>
              <w:rPr>
                <w:rFonts w:hint="default" w:ascii="Times New Roman" w:hAnsi="Times New Roman" w:eastAsia="仿宋" w:cs="Times New Roman"/>
                <w:color w:val="auto"/>
                <w:kern w:val="0"/>
                <w:sz w:val="32"/>
                <w:szCs w:val="32"/>
                <w:vertAlign w:val="baseline"/>
                <w:lang w:val="en-US" w:eastAsia="zh-CN"/>
              </w:rPr>
              <w:t>3.拟定方案</w:t>
            </w:r>
          </w:p>
        </w:tc>
        <w:tc>
          <w:tcPr>
            <w:tcW w:w="7700" w:type="dxa"/>
            <w:noWrap w:val="0"/>
            <w:vAlign w:val="top"/>
          </w:tcPr>
          <w:p>
            <w:pPr>
              <w:numPr>
                <w:ilvl w:val="0"/>
                <w:numId w:val="0"/>
              </w:num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lang w:val="en-US" w:eastAsia="zh-CN"/>
              </w:rPr>
            </w:pPr>
            <w:r>
              <w:rPr>
                <w:rFonts w:hint="default" w:ascii="Times New Roman" w:hAnsi="Times New Roman" w:eastAsia="仿宋" w:cs="Times New Roman"/>
                <w:color w:val="auto"/>
                <w:kern w:val="0"/>
                <w:sz w:val="32"/>
                <w:szCs w:val="32"/>
                <w:lang w:val="en-US" w:eastAsia="zh-CN"/>
              </w:rPr>
              <w:t>2021年11月前</w:t>
            </w:r>
            <w:r>
              <w:rPr>
                <w:rFonts w:hint="default" w:ascii="Times New Roman" w:hAnsi="Times New Roman" w:eastAsia="仿宋" w:cs="Times New Roman"/>
                <w:color w:val="auto"/>
                <w:kern w:val="0"/>
                <w:sz w:val="32"/>
                <w:szCs w:val="32"/>
              </w:rPr>
              <w:t>征集李国超书画艺术作品</w:t>
            </w:r>
            <w:r>
              <w:rPr>
                <w:rFonts w:hint="default" w:ascii="Times New Roman" w:hAnsi="Times New Roman" w:eastAsia="仿宋" w:cs="Times New Roman"/>
                <w:color w:val="auto"/>
                <w:kern w:val="0"/>
                <w:sz w:val="32"/>
                <w:szCs w:val="32"/>
                <w:lang w:val="en-US" w:eastAsia="zh-CN"/>
              </w:rPr>
              <w:t>1600</w:t>
            </w:r>
            <w:r>
              <w:rPr>
                <w:rFonts w:hint="default" w:ascii="Times New Roman" w:hAnsi="Times New Roman" w:eastAsia="仿宋" w:cs="Times New Roman"/>
                <w:color w:val="auto"/>
                <w:kern w:val="0"/>
                <w:sz w:val="32"/>
                <w:szCs w:val="32"/>
              </w:rPr>
              <w:t>件并做好数字化扫描及装裱工作，建成艺术作品展厅1个，</w:t>
            </w:r>
            <w:r>
              <w:rPr>
                <w:rFonts w:hint="default" w:ascii="Times New Roman" w:hAnsi="Times New Roman" w:eastAsia="仿宋" w:cs="Times New Roman"/>
                <w:color w:val="auto"/>
                <w:kern w:val="0"/>
                <w:sz w:val="32"/>
                <w:szCs w:val="32"/>
                <w:lang w:val="en-US" w:eastAsia="zh-CN"/>
              </w:rPr>
              <w:t>举办李国超艺术档案捐赠仪式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noWrap w:val="0"/>
            <w:vAlign w:val="top"/>
          </w:tcPr>
          <w:p>
            <w:pPr>
              <w:numPr>
                <w:ilvl w:val="0"/>
                <w:numId w:val="0"/>
              </w:num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rPr>
            </w:pPr>
            <w:r>
              <w:rPr>
                <w:rFonts w:hint="default" w:ascii="Times New Roman" w:hAnsi="Times New Roman" w:eastAsia="仿宋" w:cs="Times New Roman"/>
                <w:color w:val="auto"/>
                <w:kern w:val="0"/>
                <w:sz w:val="32"/>
                <w:szCs w:val="32"/>
                <w:vertAlign w:val="baseline"/>
                <w:lang w:val="en-US" w:eastAsia="zh-CN"/>
              </w:rPr>
              <w:t>4.协调推进</w:t>
            </w:r>
          </w:p>
        </w:tc>
        <w:tc>
          <w:tcPr>
            <w:tcW w:w="7700" w:type="dxa"/>
            <w:noWrap w:val="0"/>
            <w:vAlign w:val="top"/>
          </w:tcPr>
          <w:p>
            <w:pPr>
              <w:numPr>
                <w:ilvl w:val="0"/>
                <w:numId w:val="0"/>
              </w:num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rPr>
            </w:pPr>
            <w:r>
              <w:rPr>
                <w:rFonts w:hint="default" w:ascii="Times New Roman" w:hAnsi="Times New Roman" w:eastAsia="仿宋" w:cs="Times New Roman"/>
                <w:color w:val="auto"/>
                <w:kern w:val="0"/>
                <w:sz w:val="32"/>
                <w:szCs w:val="32"/>
                <w:vertAlign w:val="baseline"/>
                <w:lang w:eastAsia="zh-CN"/>
              </w:rPr>
              <w:t>按方案实施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noWrap w:val="0"/>
            <w:vAlign w:val="top"/>
          </w:tcPr>
          <w:p>
            <w:pPr>
              <w:numPr>
                <w:ilvl w:val="0"/>
                <w:numId w:val="0"/>
              </w:num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rPr>
            </w:pPr>
            <w:r>
              <w:rPr>
                <w:rFonts w:hint="default" w:ascii="Times New Roman" w:hAnsi="Times New Roman" w:eastAsia="仿宋" w:cs="Times New Roman"/>
                <w:color w:val="auto"/>
                <w:kern w:val="0"/>
                <w:sz w:val="32"/>
                <w:szCs w:val="32"/>
                <w:vertAlign w:val="baseline"/>
                <w:lang w:val="en-US" w:eastAsia="zh-CN"/>
              </w:rPr>
              <w:t>5.修订方案</w:t>
            </w:r>
          </w:p>
        </w:tc>
        <w:tc>
          <w:tcPr>
            <w:tcW w:w="7700" w:type="dxa"/>
            <w:noWrap w:val="0"/>
            <w:vAlign w:val="top"/>
          </w:tcPr>
          <w:p>
            <w:pPr>
              <w:numPr>
                <w:ilvl w:val="0"/>
                <w:numId w:val="0"/>
              </w:num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rPr>
            </w:pPr>
            <w:r>
              <w:rPr>
                <w:rFonts w:hint="default" w:ascii="Times New Roman" w:hAnsi="Times New Roman" w:eastAsia="仿宋" w:cs="Times New Roman"/>
                <w:color w:val="auto"/>
                <w:kern w:val="0"/>
                <w:sz w:val="32"/>
                <w:szCs w:val="32"/>
                <w:vertAlign w:val="baseline"/>
                <w:lang w:eastAsia="zh-CN"/>
              </w:rPr>
              <w:t>市档案馆已于</w:t>
            </w:r>
            <w:r>
              <w:rPr>
                <w:rFonts w:hint="default" w:ascii="Times New Roman" w:hAnsi="Times New Roman" w:eastAsia="仿宋" w:cs="Times New Roman"/>
                <w:color w:val="auto"/>
                <w:kern w:val="0"/>
                <w:sz w:val="32"/>
                <w:szCs w:val="32"/>
                <w:vertAlign w:val="baseline"/>
                <w:lang w:val="en-US" w:eastAsia="zh-CN"/>
              </w:rPr>
              <w:t>2021年11月全面完成李国超艺术档案征集及数字化整理归档工作，并建成145平方米书画展厅，截至2021年12月31日，实现项目经费支付48.95万元，用于李国超艺术档案征集差旅费，艺术价值鉴定会议费，档案捐赠奖励，数字化整理，装裱及展厅建设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noWrap w:val="0"/>
            <w:vAlign w:val="top"/>
          </w:tcPr>
          <w:p>
            <w:pPr>
              <w:numPr>
                <w:ilvl w:val="0"/>
                <w:numId w:val="0"/>
              </w:num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lang w:val="en-US" w:eastAsia="zh-CN"/>
              </w:rPr>
            </w:pPr>
            <w:r>
              <w:rPr>
                <w:rFonts w:hint="default" w:ascii="Times New Roman" w:hAnsi="Times New Roman" w:eastAsia="仿宋" w:cs="Times New Roman"/>
                <w:color w:val="auto"/>
                <w:kern w:val="0"/>
                <w:sz w:val="32"/>
                <w:szCs w:val="32"/>
                <w:vertAlign w:val="baseline"/>
                <w:lang w:val="en-US" w:eastAsia="zh-CN"/>
              </w:rPr>
              <w:t>6.结果反馈</w:t>
            </w:r>
          </w:p>
        </w:tc>
        <w:tc>
          <w:tcPr>
            <w:tcW w:w="7700" w:type="dxa"/>
            <w:noWrap w:val="0"/>
            <w:vAlign w:val="top"/>
          </w:tcPr>
          <w:p>
            <w:pPr>
              <w:numPr>
                <w:ilvl w:val="0"/>
                <w:numId w:val="0"/>
              </w:numPr>
              <w:autoSpaceDE w:val="0"/>
              <w:autoSpaceDN w:val="0"/>
              <w:adjustRightInd w:val="0"/>
              <w:spacing w:line="600" w:lineRule="exact"/>
              <w:jc w:val="left"/>
              <w:rPr>
                <w:rFonts w:hint="default" w:ascii="Times New Roman" w:hAnsi="Times New Roman" w:eastAsia="仿宋" w:cs="Times New Roman"/>
                <w:color w:val="auto"/>
                <w:kern w:val="0"/>
                <w:sz w:val="32"/>
                <w:szCs w:val="32"/>
                <w:vertAlign w:val="baseline"/>
                <w:lang w:val="en-US" w:eastAsia="zh-CN"/>
              </w:rPr>
            </w:pPr>
            <w:r>
              <w:rPr>
                <w:rFonts w:hint="default" w:ascii="Times New Roman" w:hAnsi="Times New Roman" w:eastAsia="仿宋" w:cs="Times New Roman"/>
                <w:color w:val="auto"/>
                <w:kern w:val="0"/>
                <w:sz w:val="32"/>
                <w:szCs w:val="32"/>
                <w:vertAlign w:val="baseline"/>
                <w:lang w:eastAsia="zh-CN"/>
              </w:rPr>
              <w:t>全面</w:t>
            </w:r>
            <w:r>
              <w:rPr>
                <w:rFonts w:hint="default" w:ascii="Times New Roman" w:hAnsi="Times New Roman" w:eastAsia="仿宋" w:cs="Times New Roman"/>
                <w:color w:val="auto"/>
                <w:kern w:val="0"/>
                <w:sz w:val="32"/>
                <w:szCs w:val="32"/>
                <w:vertAlign w:val="baseline"/>
              </w:rPr>
              <w:t>完成</w:t>
            </w:r>
            <w:r>
              <w:rPr>
                <w:rFonts w:hint="default" w:ascii="Times New Roman" w:hAnsi="Times New Roman" w:eastAsia="仿宋" w:cs="Times New Roman"/>
                <w:color w:val="auto"/>
                <w:kern w:val="0"/>
                <w:sz w:val="32"/>
                <w:szCs w:val="32"/>
                <w:vertAlign w:val="baseline"/>
                <w:lang w:val="en-US" w:eastAsia="zh-CN"/>
              </w:rPr>
              <w:t>李国超艺术档案征集项目绩效目标，</w:t>
            </w:r>
            <w:r>
              <w:rPr>
                <w:rFonts w:hint="default" w:ascii="Times New Roman" w:hAnsi="Times New Roman" w:eastAsia="仿宋" w:cs="Times New Roman"/>
                <w:b w:val="0"/>
                <w:bCs w:val="0"/>
                <w:color w:val="auto"/>
                <w:sz w:val="32"/>
                <w:szCs w:val="32"/>
              </w:rPr>
              <w:t>彰显和弘扬市民群众爱攀情怀，提升攀枝花文化艺术底蕴</w:t>
            </w:r>
          </w:p>
        </w:tc>
      </w:tr>
    </w:tbl>
    <w:p>
      <w:pPr>
        <w:adjustRightInd w:val="0"/>
        <w:snapToGrid w:val="0"/>
        <w:spacing w:line="600" w:lineRule="exact"/>
        <w:rPr>
          <w:rFonts w:hint="default" w:ascii="Times New Roman" w:hAnsi="Times New Roman" w:eastAsia="楷体_GB2312" w:cs="Times New Roman"/>
          <w:b/>
          <w:sz w:val="32"/>
          <w:szCs w:val="32"/>
          <w:lang w:val="zh-CN"/>
        </w:rPr>
      </w:pPr>
    </w:p>
    <w:p>
      <w:pPr>
        <w:autoSpaceDE w:val="0"/>
        <w:autoSpaceDN w:val="0"/>
        <w:adjustRightInd w:val="0"/>
        <w:spacing w:line="600" w:lineRule="exact"/>
        <w:ind w:firstLine="0" w:firstLineChars="0"/>
        <w:jc w:val="left"/>
        <w:rPr>
          <w:rFonts w:hint="default" w:ascii="Times New Roman" w:hAnsi="Times New Roman" w:eastAsia="仿宋" w:cs="Times New Roman"/>
          <w:color w:val="auto"/>
          <w:kern w:val="0"/>
          <w:sz w:val="32"/>
          <w:szCs w:val="32"/>
        </w:rPr>
      </w:pPr>
      <w:r>
        <w:rPr>
          <w:rFonts w:hint="default" w:ascii="Times New Roman" w:hAnsi="Times New Roman" w:eastAsia="楷体_GB2312" w:cs="Times New Roman"/>
          <w:b/>
          <w:bCs w:val="0"/>
          <w:sz w:val="32"/>
          <w:szCs w:val="32"/>
          <w:lang w:val="en-US" w:eastAsia="zh-CN"/>
        </w:rPr>
        <w:t xml:space="preserve">    </w:t>
      </w:r>
      <w:r>
        <w:rPr>
          <w:rFonts w:hint="default" w:ascii="Times New Roman" w:hAnsi="Times New Roman" w:eastAsia="楷体" w:cs="Times New Roman"/>
          <w:b/>
          <w:bCs w:val="0"/>
          <w:sz w:val="32"/>
          <w:szCs w:val="32"/>
          <w:lang w:val="zh-CN"/>
        </w:rPr>
        <w:t>（二）项目管理情况。</w:t>
      </w:r>
      <w:r>
        <w:rPr>
          <w:rFonts w:hint="default" w:ascii="Times New Roman" w:hAnsi="Times New Roman" w:eastAsia="仿宋" w:cs="Times New Roman"/>
          <w:color w:val="auto"/>
          <w:kern w:val="0"/>
          <w:sz w:val="32"/>
          <w:szCs w:val="32"/>
        </w:rPr>
        <w:t>结合项目特点，总体评价各项目实施单位执行相关法律法规及项目管理制度等情况，如招投标、政府采购、项目公示制等相关规定。</w:t>
      </w:r>
      <w:r>
        <w:rPr>
          <w:rFonts w:hint="default" w:ascii="Times New Roman" w:hAnsi="Times New Roman" w:eastAsia="仿宋" w:cs="Times New Roman"/>
          <w:color w:val="auto"/>
          <w:kern w:val="2"/>
          <w:sz w:val="32"/>
          <w:szCs w:val="32"/>
          <w:lang w:eastAsia="zh-CN" w:bidi="ar-SA"/>
        </w:rPr>
        <w:t>严格按照《中华人民共和国档案法》及</w:t>
      </w:r>
      <w:r>
        <w:rPr>
          <w:rFonts w:hint="default" w:ascii="Times New Roman" w:hAnsi="Times New Roman" w:eastAsia="仿宋" w:cs="Times New Roman"/>
          <w:color w:val="auto"/>
          <w:kern w:val="2"/>
          <w:sz w:val="32"/>
          <w:szCs w:val="32"/>
          <w:lang w:val="en-US" w:eastAsia="zh-CN" w:bidi="ar-SA"/>
        </w:rPr>
        <w:t>《四川省国家档案馆管理办法》《政府采购法》</w:t>
      </w:r>
      <w:r>
        <w:rPr>
          <w:rFonts w:hint="default" w:ascii="Times New Roman" w:hAnsi="Times New Roman" w:eastAsia="仿宋" w:cs="Times New Roman"/>
          <w:color w:val="auto"/>
          <w:kern w:val="2"/>
          <w:sz w:val="32"/>
          <w:szCs w:val="32"/>
          <w:lang w:eastAsia="zh-CN" w:bidi="ar-SA"/>
        </w:rPr>
        <w:t>《攀枝花市档案馆专项资金管理办法》</w:t>
      </w:r>
      <w:r>
        <w:rPr>
          <w:rFonts w:hint="default" w:ascii="Times New Roman" w:hAnsi="Times New Roman" w:eastAsia="仿宋" w:cs="Times New Roman"/>
          <w:color w:val="auto"/>
          <w:kern w:val="2"/>
          <w:sz w:val="32"/>
          <w:szCs w:val="32"/>
          <w:lang w:val="en-US" w:eastAsia="zh-CN" w:bidi="ar-SA"/>
        </w:rPr>
        <w:t>等规章制度对项目要素及实施过程进行监督，严格按照制度办法实施。</w:t>
      </w:r>
    </w:p>
    <w:p>
      <w:pPr>
        <w:numPr>
          <w:ilvl w:val="0"/>
          <w:numId w:val="0"/>
        </w:numPr>
        <w:adjustRightInd w:val="0"/>
        <w:snapToGrid w:val="0"/>
        <w:spacing w:line="600" w:lineRule="exact"/>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lang w:val="zh-CN"/>
        </w:rPr>
        <w:t>由单位主要负责人、分管领导、业务科室、业务经办人员、办公室主任及财务人员根据项目运行具体阶段以会议形式对项目进行自评，对项目进行分阶段、分任务考核监督，根据项目进度进行资金划拨，实报实销。</w:t>
      </w:r>
    </w:p>
    <w:p>
      <w:pPr>
        <w:autoSpaceDE/>
        <w:autoSpaceDN/>
        <w:adjustRightInd/>
        <w:spacing w:line="576" w:lineRule="exact"/>
        <w:ind w:firstLine="0" w:firstLineChars="0"/>
        <w:jc w:val="left"/>
        <w:rPr>
          <w:rFonts w:hint="default" w:ascii="Times New Roman" w:hAnsi="Times New Roman" w:cs="Times New Roman"/>
          <w:lang w:val="zh-CN"/>
        </w:rPr>
      </w:pPr>
      <w:r>
        <w:rPr>
          <w:rFonts w:hint="default" w:ascii="Times New Roman" w:hAnsi="Times New Roman" w:eastAsia="楷体_GB2312" w:cs="Times New Roman"/>
          <w:b/>
          <w:sz w:val="32"/>
          <w:szCs w:val="32"/>
          <w:lang w:val="en-US" w:eastAsia="zh-CN"/>
        </w:rPr>
        <w:t xml:space="preserve">   </w:t>
      </w:r>
      <w:r>
        <w:rPr>
          <w:rFonts w:hint="default" w:ascii="Times New Roman" w:hAnsi="Times New Roman" w:eastAsia="楷体" w:cs="Times New Roman"/>
          <w:b/>
          <w:sz w:val="32"/>
          <w:szCs w:val="32"/>
          <w:lang w:val="en-US" w:eastAsia="zh-CN"/>
        </w:rPr>
        <w:t xml:space="preserve"> </w:t>
      </w:r>
      <w:r>
        <w:rPr>
          <w:rFonts w:hint="default" w:ascii="Times New Roman" w:hAnsi="Times New Roman" w:eastAsia="楷体" w:cs="Times New Roman"/>
          <w:b/>
          <w:sz w:val="32"/>
          <w:szCs w:val="32"/>
          <w:lang w:val="zh-CN"/>
        </w:rPr>
        <w:t>（三）项目监管情况。</w:t>
      </w:r>
      <w:r>
        <w:rPr>
          <w:rFonts w:hint="default" w:ascii="Times New Roman" w:hAnsi="Times New Roman" w:eastAsia="仿宋" w:cs="Times New Roman"/>
          <w:color w:val="auto"/>
          <w:kern w:val="0"/>
          <w:sz w:val="32"/>
          <w:szCs w:val="32"/>
        </w:rPr>
        <w:t>说明项目主管部门为加强项目管理所采取的监管手段、监管程序、监管工作开展情况及实现的效果等。</w:t>
      </w:r>
      <w:r>
        <w:rPr>
          <w:rFonts w:hint="default" w:ascii="Times New Roman" w:hAnsi="Times New Roman" w:eastAsia="仿宋" w:cs="Times New Roman"/>
          <w:color w:val="auto"/>
          <w:kern w:val="2"/>
          <w:sz w:val="32"/>
          <w:szCs w:val="32"/>
          <w:lang w:eastAsia="zh-CN" w:bidi="ar-SA"/>
        </w:rPr>
        <w:t>市档案馆项目资金管理按照《攀枝花市档案馆关于印发</w:t>
      </w:r>
      <w:r>
        <w:rPr>
          <w:rFonts w:hint="default" w:ascii="Times New Roman" w:hAnsi="Times New Roman" w:eastAsia="仿宋" w:cs="Times New Roman"/>
          <w:color w:val="auto"/>
          <w:kern w:val="2"/>
          <w:sz w:val="32"/>
          <w:szCs w:val="32"/>
          <w:lang w:val="en-US" w:eastAsia="zh-CN" w:bidi="ar-SA"/>
        </w:rPr>
        <w:t>&lt;攀枝花市档案馆专项资金管理办法&gt;的通知</w:t>
      </w:r>
      <w:r>
        <w:rPr>
          <w:rFonts w:hint="default" w:ascii="Times New Roman" w:hAnsi="Times New Roman" w:eastAsia="仿宋" w:cs="Times New Roman"/>
          <w:color w:val="auto"/>
          <w:kern w:val="2"/>
          <w:sz w:val="32"/>
          <w:szCs w:val="32"/>
          <w:lang w:eastAsia="zh-CN" w:bidi="ar-SA"/>
        </w:rPr>
        <w:t>》执行。</w:t>
      </w:r>
      <w:r>
        <w:rPr>
          <w:rFonts w:hint="default" w:ascii="Times New Roman" w:hAnsi="Times New Roman" w:eastAsia="仿宋" w:cs="Times New Roman"/>
          <w:color w:val="auto"/>
          <w:sz w:val="32"/>
          <w:szCs w:val="32"/>
          <w:lang w:bidi="ar-SA"/>
        </w:rPr>
        <w:t>办公室负责专项资金预、决算上报工作，负责专项资金使用审批、监督与审查工作，负责专项资金支付计划上报和资金支付工作。专项资金申请科室负责专项资金的申请及报批工作，负责制定专项资金使用计划、建立专项资金使用台帐工作，负责专项资金使用验收、评价工作。</w:t>
      </w:r>
    </w:p>
    <w:p>
      <w:pPr>
        <w:adjustRightInd w:val="0"/>
        <w:snapToGrid w:val="0"/>
        <w:spacing w:line="600" w:lineRule="exact"/>
        <w:ind w:firstLine="720"/>
        <w:rPr>
          <w:rFonts w:hint="default" w:ascii="Times New Roman" w:hAnsi="Times New Roman" w:eastAsia="仿宋_GB2312" w:cs="Times New Roman"/>
          <w:sz w:val="32"/>
          <w:szCs w:val="32"/>
          <w:lang w:val="zh-CN"/>
        </w:rPr>
      </w:pPr>
      <w:r>
        <w:rPr>
          <w:rFonts w:hint="default" w:ascii="Times New Roman" w:hAnsi="Times New Roman" w:eastAsia="黑体" w:cs="Times New Roman"/>
          <w:sz w:val="32"/>
          <w:szCs w:val="32"/>
        </w:rPr>
        <w:t>四、项目绩效情况</w:t>
      </w:r>
      <w:r>
        <w:rPr>
          <w:rFonts w:hint="default" w:ascii="Times New Roman" w:hAnsi="Times New Roman" w:eastAsia="仿宋_GB2312" w:cs="Times New Roman"/>
          <w:sz w:val="32"/>
          <w:szCs w:val="32"/>
          <w:lang w:val="zh-CN"/>
        </w:rPr>
        <w:tab/>
      </w:r>
    </w:p>
    <w:p>
      <w:pPr>
        <w:adjustRightInd w:val="0"/>
        <w:snapToGrid w:val="0"/>
        <w:spacing w:line="600" w:lineRule="exact"/>
        <w:ind w:firstLine="72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（一）项目完成情况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2021年11月前完成</w:t>
      </w:r>
      <w:r>
        <w:rPr>
          <w:rFonts w:hint="default" w:ascii="Times New Roman" w:hAnsi="Times New Roman" w:eastAsia="仿宋_GB2312" w:cs="Times New Roman"/>
          <w:b w:val="0"/>
          <w:bCs w:val="0"/>
          <w:color w:val="auto"/>
          <w:sz w:val="32"/>
          <w:szCs w:val="32"/>
        </w:rPr>
        <w:t>李国超艺术档案征集、装裱、数字化1600余件及145平方米书画艺术作品展厅建设</w:t>
      </w:r>
      <w:r>
        <w:rPr>
          <w:rFonts w:hint="default" w:ascii="Times New Roman" w:hAnsi="Times New Roman" w:eastAsia="仿宋_GB2312" w:cs="Times New Roman"/>
          <w:b w:val="0"/>
          <w:bCs w:val="0"/>
          <w:color w:val="auto"/>
          <w:sz w:val="32"/>
          <w:szCs w:val="32"/>
          <w:lang w:eastAsia="zh-CN"/>
        </w:rPr>
        <w:t>，所征集档案满足档案规范化管理要求，达到市档案馆档案接收进馆双套制要求。</w:t>
      </w:r>
    </w:p>
    <w:p>
      <w:pPr>
        <w:adjustRightInd w:val="0"/>
        <w:snapToGrid w:val="0"/>
        <w:spacing w:line="600" w:lineRule="exact"/>
        <w:ind w:firstLine="72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（二）项目效益情况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val="0"/>
          <w:bCs w:val="0"/>
          <w:color w:val="auto"/>
          <w:sz w:val="32"/>
          <w:szCs w:val="32"/>
          <w:lang w:val="en-US" w:eastAsia="zh-CN"/>
        </w:rPr>
        <w:t>李国超艺术档案征集项目</w:t>
      </w:r>
      <w:r>
        <w:rPr>
          <w:rFonts w:hint="default" w:ascii="Times New Roman" w:hAnsi="Times New Roman" w:eastAsia="仿宋_GB2312" w:cs="Times New Roman"/>
          <w:b w:val="0"/>
          <w:bCs w:val="0"/>
          <w:color w:val="auto"/>
          <w:sz w:val="32"/>
          <w:szCs w:val="32"/>
          <w:lang w:eastAsia="zh-CN"/>
        </w:rPr>
        <w:t>带来良好的社会效益，能够彰显和弘扬市民群众爱攀情怀，提升攀枝花文化艺术底蕴，</w:t>
      </w:r>
      <w:r>
        <w:rPr>
          <w:rFonts w:hint="default" w:ascii="Times New Roman" w:hAnsi="Times New Roman" w:eastAsia="仿宋_GB2312" w:cs="Times New Roman"/>
          <w:b w:val="0"/>
          <w:bCs w:val="0"/>
          <w:color w:val="auto"/>
          <w:sz w:val="32"/>
          <w:szCs w:val="32"/>
          <w:lang w:val="en-US" w:eastAsia="zh-CN"/>
        </w:rPr>
        <w:t>档案利用满意度≥90%。</w:t>
      </w:r>
    </w:p>
    <w:p>
      <w:pPr>
        <w:adjustRightInd w:val="0"/>
        <w:snapToGrid w:val="0"/>
        <w:spacing w:line="600" w:lineRule="exact"/>
        <w:ind w:firstLine="72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五、评价结论及建议</w:t>
      </w:r>
    </w:p>
    <w:p>
      <w:pPr>
        <w:adjustRightInd w:val="0"/>
        <w:snapToGrid w:val="0"/>
        <w:spacing w:line="600" w:lineRule="exact"/>
        <w:ind w:firstLine="72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（一）评价结论</w:t>
      </w:r>
    </w:p>
    <w:p>
      <w:pPr>
        <w:autoSpaceDE w:val="0"/>
        <w:autoSpaceDN w:val="0"/>
        <w:adjustRightInd w:val="0"/>
        <w:spacing w:line="60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方正仿宋_GBK" w:cs="Times New Roman"/>
          <w:color w:val="auto"/>
          <w:kern w:val="2"/>
          <w:sz w:val="32"/>
          <w:szCs w:val="32"/>
          <w:lang w:eastAsia="zh-CN" w:bidi="ar-SA"/>
        </w:rPr>
        <w:t>市档案馆该项目</w:t>
      </w:r>
      <w:r>
        <w:rPr>
          <w:rFonts w:hint="default" w:ascii="Times New Roman" w:hAnsi="Times New Roman" w:eastAsia="方正仿宋_GBK" w:cs="Times New Roman"/>
          <w:color w:val="auto"/>
          <w:kern w:val="2"/>
          <w:sz w:val="32"/>
          <w:szCs w:val="32"/>
          <w:lang w:bidi="ar-SA"/>
        </w:rPr>
        <w:t>项目决策</w:t>
      </w:r>
      <w:r>
        <w:rPr>
          <w:rFonts w:hint="default" w:ascii="Times New Roman" w:hAnsi="Times New Roman" w:eastAsia="方正仿宋_GBK" w:cs="Times New Roman"/>
          <w:color w:val="auto"/>
          <w:kern w:val="2"/>
          <w:sz w:val="32"/>
          <w:szCs w:val="32"/>
          <w:lang w:eastAsia="zh-CN" w:bidi="ar-SA"/>
        </w:rPr>
        <w:t>符合国家法律法规，符合行业发展规划和政策要求，围绕市委市政府中心大局，于市档案馆职责范围相符，符合市档案馆业务发展需求，切实从市档案馆档案业务运行角度出发，达到档案保管保护及查阅利用所需条件；</w:t>
      </w:r>
      <w:r>
        <w:rPr>
          <w:rFonts w:hint="default" w:ascii="Times New Roman" w:hAnsi="Times New Roman" w:eastAsia="方正仿宋_GBK" w:cs="Times New Roman"/>
          <w:color w:val="auto"/>
          <w:kern w:val="2"/>
          <w:sz w:val="32"/>
          <w:szCs w:val="32"/>
          <w:lang w:bidi="ar-SA"/>
        </w:rPr>
        <w:t>项目管理</w:t>
      </w:r>
      <w:r>
        <w:rPr>
          <w:rFonts w:hint="default" w:ascii="Times New Roman" w:hAnsi="Times New Roman" w:eastAsia="方正仿宋_GBK" w:cs="Times New Roman"/>
          <w:color w:val="auto"/>
          <w:kern w:val="2"/>
          <w:sz w:val="32"/>
          <w:szCs w:val="32"/>
          <w:lang w:eastAsia="zh-CN" w:bidi="ar-SA"/>
        </w:rPr>
        <w:t>严格按照《攀枝花市档案馆专项资金管理办法》执行</w:t>
      </w:r>
      <w:r>
        <w:rPr>
          <w:rFonts w:hint="default" w:ascii="Times New Roman" w:hAnsi="Times New Roman" w:eastAsia="方正仿宋_GBK" w:cs="Times New Roman"/>
          <w:color w:val="auto"/>
          <w:kern w:val="2"/>
          <w:sz w:val="32"/>
          <w:szCs w:val="32"/>
          <w:lang w:bidi="ar-SA"/>
        </w:rPr>
        <w:t>、</w:t>
      </w:r>
      <w:r>
        <w:rPr>
          <w:rFonts w:hint="default" w:ascii="Times New Roman" w:hAnsi="Times New Roman" w:eastAsia="方正仿宋_GBK" w:cs="Times New Roman"/>
          <w:color w:val="auto"/>
          <w:kern w:val="2"/>
          <w:sz w:val="32"/>
          <w:szCs w:val="32"/>
          <w:lang w:eastAsia="zh-CN" w:bidi="ar-SA"/>
        </w:rPr>
        <w:t>明确项目实施责任人及管理环节，项目实施流程清晰，管理台账齐全；</w:t>
      </w:r>
      <w:r>
        <w:rPr>
          <w:rFonts w:hint="default" w:ascii="Times New Roman" w:hAnsi="Times New Roman" w:eastAsia="方正仿宋_GBK" w:cs="Times New Roman"/>
          <w:color w:val="auto"/>
          <w:kern w:val="2"/>
          <w:sz w:val="32"/>
          <w:szCs w:val="32"/>
          <w:lang w:bidi="ar-SA"/>
        </w:rPr>
        <w:t>项目绩效</w:t>
      </w:r>
      <w:r>
        <w:rPr>
          <w:rFonts w:hint="default" w:ascii="Times New Roman" w:hAnsi="Times New Roman" w:eastAsia="方正仿宋_GBK" w:cs="Times New Roman"/>
          <w:color w:val="auto"/>
          <w:kern w:val="2"/>
          <w:sz w:val="32"/>
          <w:szCs w:val="32"/>
          <w:lang w:eastAsia="zh-CN" w:bidi="ar-SA"/>
        </w:rPr>
        <w:t>遵循实事求是、客观公正、公开透明的原则，对项目实施、项目效益、项目满意度指标等</w:t>
      </w:r>
      <w:r>
        <w:rPr>
          <w:rFonts w:hint="default" w:ascii="Times New Roman" w:hAnsi="Times New Roman" w:eastAsia="方正仿宋_GBK" w:cs="Times New Roman"/>
          <w:color w:val="auto"/>
          <w:kern w:val="2"/>
          <w:sz w:val="32"/>
          <w:szCs w:val="32"/>
          <w:lang w:bidi="ar-SA"/>
        </w:rPr>
        <w:t>三个方面</w:t>
      </w:r>
      <w:r>
        <w:rPr>
          <w:rFonts w:hint="default" w:ascii="Times New Roman" w:hAnsi="Times New Roman" w:eastAsia="方正仿宋_GBK" w:cs="Times New Roman"/>
          <w:color w:val="auto"/>
          <w:kern w:val="2"/>
          <w:sz w:val="32"/>
          <w:szCs w:val="32"/>
          <w:lang w:eastAsia="zh-CN" w:bidi="ar-SA"/>
        </w:rPr>
        <w:t>采用定量分析、定性描述</w:t>
      </w:r>
      <w:r>
        <w:rPr>
          <w:rFonts w:hint="default" w:ascii="Times New Roman" w:hAnsi="Times New Roman" w:eastAsia="方正仿宋_GBK" w:cs="Times New Roman"/>
          <w:color w:val="auto"/>
          <w:kern w:val="2"/>
          <w:sz w:val="32"/>
          <w:szCs w:val="32"/>
          <w:lang w:bidi="ar-SA"/>
        </w:rPr>
        <w:t>对项目进行总体评价。</w:t>
      </w:r>
    </w:p>
    <w:p>
      <w:pPr>
        <w:adjustRightInd w:val="0"/>
        <w:snapToGrid w:val="0"/>
        <w:spacing w:line="600" w:lineRule="exact"/>
        <w:ind w:firstLine="72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（二）存在的问题</w:t>
      </w:r>
    </w:p>
    <w:p>
      <w:pPr>
        <w:autoSpaceDE w:val="0"/>
        <w:autoSpaceDN w:val="0"/>
        <w:adjustRightInd w:val="0"/>
        <w:spacing w:line="600" w:lineRule="exact"/>
        <w:ind w:firstLine="642" w:firstLineChars="200"/>
        <w:jc w:val="left"/>
        <w:rPr>
          <w:rFonts w:hint="default" w:ascii="Times New Roman" w:hAnsi="Times New Roman" w:eastAsia="方正仿宋_GBK" w:cs="Times New Roman"/>
          <w:color w:val="auto"/>
          <w:kern w:val="2"/>
          <w:sz w:val="32"/>
          <w:szCs w:val="32"/>
          <w:lang w:eastAsia="zh-CN"/>
        </w:rPr>
      </w:pPr>
      <w:r>
        <w:rPr>
          <w:rFonts w:hint="default" w:ascii="Times New Roman" w:hAnsi="Times New Roman" w:eastAsia="方正仿宋_GBK" w:cs="Times New Roman"/>
          <w:b/>
          <w:bCs/>
          <w:color w:val="auto"/>
          <w:kern w:val="2"/>
          <w:sz w:val="32"/>
          <w:szCs w:val="32"/>
          <w:lang w:eastAsia="zh-CN"/>
        </w:rPr>
        <w:t>一是</w:t>
      </w:r>
      <w:r>
        <w:rPr>
          <w:rFonts w:hint="default" w:ascii="Times New Roman" w:hAnsi="Times New Roman" w:eastAsia="方正仿宋_GBK" w:cs="Times New Roman"/>
          <w:color w:val="auto"/>
          <w:kern w:val="2"/>
          <w:sz w:val="32"/>
          <w:szCs w:val="32"/>
          <w:lang w:eastAsia="zh-CN"/>
        </w:rPr>
        <w:t>项目目标细化不到位。该项目绩效目标总体上对项目数量、质量、时效、成本指标进行了细化，但部分效益指标预期实施成果细化不到位，存在不可量化的情况。</w:t>
      </w:r>
      <w:r>
        <w:rPr>
          <w:rFonts w:hint="default" w:ascii="Times New Roman" w:hAnsi="Times New Roman" w:eastAsia="方正仿宋_GBK" w:cs="Times New Roman"/>
          <w:b/>
          <w:bCs/>
          <w:color w:val="auto"/>
          <w:kern w:val="2"/>
          <w:sz w:val="32"/>
          <w:szCs w:val="32"/>
          <w:lang w:eastAsia="zh-CN"/>
        </w:rPr>
        <w:t>二是</w:t>
      </w:r>
      <w:r>
        <w:rPr>
          <w:rFonts w:hint="default" w:ascii="Times New Roman" w:hAnsi="Times New Roman" w:eastAsia="方正仿宋_GBK" w:cs="Times New Roman"/>
          <w:color w:val="auto"/>
          <w:kern w:val="2"/>
          <w:sz w:val="32"/>
          <w:szCs w:val="32"/>
          <w:lang w:eastAsia="zh-CN"/>
        </w:rPr>
        <w:t>项目资金与项目未能明确匹配。项目涉及具体工作数量多，周期长，加之疫情影响，使得年度预算资金基本符合项目总体实施进度要求，但不能实现与具体实施精准匹配，基本上采用总量控制，按实际精度统筹使用项目资金。</w:t>
      </w:r>
    </w:p>
    <w:p>
      <w:pPr>
        <w:adjustRightInd w:val="0"/>
        <w:snapToGrid w:val="0"/>
        <w:spacing w:line="600" w:lineRule="exact"/>
        <w:ind w:firstLine="72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（三）相关建议</w:t>
      </w:r>
    </w:p>
    <w:p>
      <w:pPr>
        <w:autoSpaceDE w:val="0"/>
        <w:autoSpaceDN w:val="0"/>
        <w:adjustRightInd w:val="0"/>
        <w:spacing w:line="600" w:lineRule="exact"/>
        <w:ind w:firstLine="642" w:firstLineChars="200"/>
        <w:jc w:val="left"/>
        <w:rPr>
          <w:rFonts w:hint="default" w:ascii="Times New Roman" w:hAnsi="Times New Roman" w:eastAsia="方正仿宋_GBK" w:cs="Times New Roman"/>
          <w:color w:val="auto"/>
          <w:kern w:val="2"/>
          <w:sz w:val="32"/>
          <w:szCs w:val="32"/>
          <w:lang w:eastAsia="zh-CN"/>
        </w:rPr>
      </w:pPr>
      <w:r>
        <w:rPr>
          <w:rFonts w:hint="default" w:ascii="Times New Roman" w:hAnsi="Times New Roman" w:eastAsia="方正仿宋_GBK" w:cs="Times New Roman"/>
          <w:b/>
          <w:bCs/>
          <w:color w:val="auto"/>
          <w:kern w:val="2"/>
          <w:sz w:val="32"/>
          <w:szCs w:val="32"/>
          <w:lang w:eastAsia="zh-CN"/>
        </w:rPr>
        <w:t>一是</w:t>
      </w:r>
      <w:r>
        <w:rPr>
          <w:rFonts w:hint="default" w:ascii="Times New Roman" w:hAnsi="Times New Roman" w:eastAsia="方正仿宋_GBK" w:cs="Times New Roman"/>
          <w:color w:val="auto"/>
          <w:kern w:val="2"/>
          <w:sz w:val="32"/>
          <w:szCs w:val="32"/>
          <w:lang w:eastAsia="zh-CN"/>
        </w:rPr>
        <w:t>细化评价标准，科学分解目标。我馆将进一步明确项目绩效目标设置要求，同意细化标准，严格要求各项目分管科室，科学分解项目具体绩效目标，更加全面、完整地体现项目预期成效。</w:t>
      </w:r>
      <w:r>
        <w:rPr>
          <w:rFonts w:hint="default" w:ascii="Times New Roman" w:hAnsi="Times New Roman" w:eastAsia="方正仿宋_GBK" w:cs="Times New Roman"/>
          <w:b/>
          <w:bCs/>
          <w:color w:val="auto"/>
          <w:kern w:val="2"/>
          <w:sz w:val="32"/>
          <w:szCs w:val="32"/>
          <w:lang w:eastAsia="zh-CN"/>
        </w:rPr>
        <w:t>二是</w:t>
      </w:r>
      <w:r>
        <w:rPr>
          <w:rFonts w:hint="default" w:ascii="Times New Roman" w:hAnsi="Times New Roman" w:eastAsia="方正仿宋_GBK" w:cs="Times New Roman"/>
          <w:color w:val="auto"/>
          <w:kern w:val="2"/>
          <w:sz w:val="32"/>
          <w:szCs w:val="32"/>
          <w:lang w:eastAsia="zh-CN"/>
        </w:rPr>
        <w:t>精准项目匹配，明确资金分配。根据年度项目资金安排，实时把握项目进度，合理预测项目年度资金需求，将项目资金准确使用到具体项目，实现项目资金单一管理，精准使用。</w:t>
      </w:r>
    </w:p>
    <w:p>
      <w:pPr>
        <w:spacing w:line="580" w:lineRule="exact"/>
        <w:ind w:firstLine="640"/>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李国超艺术档案征集项目</w:t>
      </w:r>
      <w:r>
        <w:rPr>
          <w:rFonts w:hint="eastAsia" w:ascii="方正楷体_GBK" w:hAnsi="方正楷体_GBK" w:eastAsia="方正楷体_GBK" w:cs="方正楷体_GBK"/>
          <w:sz w:val="32"/>
          <w:szCs w:val="32"/>
        </w:rPr>
        <w:t>资金绩效自评表</w:t>
      </w:r>
    </w:p>
    <w:tbl>
      <w:tblPr>
        <w:tblW w:w="947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6"/>
        <w:gridCol w:w="456"/>
        <w:gridCol w:w="1269"/>
        <w:gridCol w:w="1539"/>
        <w:gridCol w:w="2076"/>
        <w:gridCol w:w="1412"/>
        <w:gridCol w:w="964"/>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18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专项（项目）名称</w:t>
            </w:r>
          </w:p>
        </w:tc>
        <w:tc>
          <w:tcPr>
            <w:tcW w:w="729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李国超艺术档案征集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218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项目主管单位</w:t>
            </w:r>
          </w:p>
        </w:tc>
        <w:tc>
          <w:tcPr>
            <w:tcW w:w="729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攀枝花市档案馆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218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项目实施单位</w:t>
            </w:r>
          </w:p>
        </w:tc>
        <w:tc>
          <w:tcPr>
            <w:tcW w:w="729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攀枝花市档案馆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2181"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项目资金</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（万元）</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全年预算数</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实际完成数</w:t>
            </w:r>
          </w:p>
        </w:tc>
        <w:tc>
          <w:tcPr>
            <w:tcW w:w="22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218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年度资金总额：</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489522.33元</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489522.33元</w:t>
            </w:r>
          </w:p>
        </w:tc>
        <w:tc>
          <w:tcPr>
            <w:tcW w:w="22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8" w:hRule="atLeast"/>
        </w:trPr>
        <w:tc>
          <w:tcPr>
            <w:tcW w:w="218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其中：上级财政资金</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22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218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本级财政资金</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489522.33元</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489522.33元</w:t>
            </w:r>
          </w:p>
        </w:tc>
        <w:tc>
          <w:tcPr>
            <w:tcW w:w="22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218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其他资金</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c>
          <w:tcPr>
            <w:tcW w:w="22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45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总</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体</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目</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标</w:t>
            </w:r>
          </w:p>
        </w:tc>
        <w:tc>
          <w:tcPr>
            <w:tcW w:w="326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年度设定目标</w:t>
            </w:r>
          </w:p>
        </w:tc>
        <w:tc>
          <w:tcPr>
            <w:tcW w:w="5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0" w:hRule="atLeast"/>
        </w:trPr>
        <w:tc>
          <w:tcPr>
            <w:tcW w:w="456"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3264"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征集李国超书画艺术作品2000件并做好数字化扫描及装裱工作，建成艺术作品展厅1个，发挥李国超书画艺术档案价值，彰显和弘扬市民群众爱攀情怀，提升攀枝花文化艺术底蕴。</w:t>
            </w:r>
          </w:p>
        </w:tc>
        <w:tc>
          <w:tcPr>
            <w:tcW w:w="5759" w:type="dxa"/>
            <w:gridSpan w:val="4"/>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成都举办李国超艺术作品价值评鉴会，征集李国超书画艺术作品1600余件，完成所征集档案数字化及书画作品装裱，移交市档案馆进行冷冻除虫并入库，建成书画艺术作品展厅1个。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4" w:hRule="atLeast"/>
        </w:trPr>
        <w:tc>
          <w:tcPr>
            <w:tcW w:w="456"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绩</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指</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标</w:t>
            </w:r>
          </w:p>
        </w:tc>
        <w:tc>
          <w:tcPr>
            <w:tcW w:w="456"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一级</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指标</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二级指标</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三级指标</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年度指标值</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实际完成数</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完成率（%）</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项目完成</w:t>
            </w:r>
          </w:p>
        </w:tc>
        <w:tc>
          <w:tcPr>
            <w:tcW w:w="1269"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数量指标</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征集数量</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500件</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1600件</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展厅建设</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100平方米</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145平方米</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装裱数量</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100幅</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132幅</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数字化数量</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500件</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1600件</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77"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质量指标</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装裱标准</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达到书画作品装裱要求，具体以合同议定为主</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及其装裱。使用丝织品锦绫材料，按作品原幅装裱</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77"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数字化标准</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达到数字化档案归档要求</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满足档案数字化要求与归档文件整理规范相关要求</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4"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vMerge w:val="restart"/>
            <w:tcBorders>
              <w:top w:val="nil"/>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时效指标</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征集档案并完成装裱入库</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2021年11月之前</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2021年10月已完成</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vMerge w:val="continue"/>
            <w:tcBorders>
              <w:top w:val="nil"/>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展厅建设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2021年11月之前</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2021年6月已完成</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成本指标</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书画征集整理扫描费用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≤1000元/幅</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300元/幅</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证书、照片整理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≤500元、幅</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300元/幅</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档案征集奖励</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≤28万元</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20万元</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7"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展厅建设</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≤20万元</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17.55万元</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4"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restart"/>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项目效益</w:t>
            </w:r>
          </w:p>
        </w:tc>
        <w:tc>
          <w:tcPr>
            <w:tcW w:w="1269"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经济效益</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无</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无</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无</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77"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社会效益</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彰显和弘扬市民群众爱攀情怀，提升攀枝花文化艺术底蕴</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彰显和弘扬市民群众爱攀情怀，提升攀枝花文化艺术底蕴</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彰显和弘扬市民群众爱攀情怀，提升攀枝花文化艺术底蕴</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4"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生态效益</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无</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无</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无</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4"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1269" w:type="dxa"/>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可持续影响</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指标</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提升攀枝花文化艺术底蕴</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提升攀枝花文化艺术底蕴</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提升攀枝花文化艺术底蕴</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70" w:hRule="atLeast"/>
        </w:trPr>
        <w:tc>
          <w:tcPr>
            <w:tcW w:w="456" w:type="dxa"/>
            <w:vMerge w:val="continue"/>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24"/>
                <w:szCs w:val="24"/>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满意度指标</w:t>
            </w:r>
          </w:p>
        </w:tc>
        <w:tc>
          <w:tcPr>
            <w:tcW w:w="12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满意度指标</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观展群众满意度</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w:t>
            </w:r>
          </w:p>
        </w:tc>
        <w:tc>
          <w:tcPr>
            <w:tcW w:w="14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w:t>
            </w:r>
          </w:p>
        </w:tc>
        <w:tc>
          <w:tcPr>
            <w:tcW w:w="9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24"/>
                <w:szCs w:val="24"/>
                <w:u w:val="none"/>
              </w:rPr>
            </w:pPr>
          </w:p>
        </w:tc>
      </w:tr>
    </w:tbl>
    <w:p>
      <w:pPr>
        <w:spacing w:line="580" w:lineRule="exact"/>
        <w:ind w:firstLine="640"/>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lang w:val="zh-CN"/>
        </w:rPr>
      </w:pPr>
      <w:bookmarkStart w:id="78" w:name="_GoBack"/>
      <w:bookmarkEnd w:id="78"/>
    </w:p>
    <w:p>
      <w:pPr>
        <w:pStyle w:val="2"/>
        <w:rPr>
          <w:rFonts w:hint="default" w:ascii="Times New Roman" w:hAnsi="Times New Roman" w:eastAsia="仿宋_GB2312" w:cs="Times New Roman"/>
          <w:sz w:val="32"/>
          <w:szCs w:val="32"/>
          <w:lang w:val="zh-CN"/>
        </w:rPr>
      </w:pPr>
    </w:p>
    <w:p>
      <w:pPr>
        <w:pStyle w:val="2"/>
        <w:rPr>
          <w:rFonts w:hint="default" w:ascii="Times New Roman" w:hAnsi="Times New Roman" w:eastAsia="仿宋_GB2312" w:cs="Times New Roman"/>
          <w:sz w:val="32"/>
          <w:szCs w:val="32"/>
          <w:lang w:val="zh-CN"/>
        </w:rPr>
      </w:pPr>
    </w:p>
    <w:p>
      <w:pPr>
        <w:pStyle w:val="2"/>
        <w:rPr>
          <w:rFonts w:hint="default" w:ascii="Times New Roman" w:hAnsi="Times New Roman" w:eastAsia="仿宋_GB2312" w:cs="Times New Roman"/>
          <w:sz w:val="32"/>
          <w:szCs w:val="32"/>
          <w:lang w:val="zh-CN"/>
        </w:rPr>
      </w:pPr>
    </w:p>
    <w:p>
      <w:pPr>
        <w:pStyle w:val="2"/>
        <w:rPr>
          <w:rFonts w:hint="default" w:ascii="Times New Roman" w:hAnsi="Times New Roman" w:eastAsia="仿宋_GB2312" w:cs="Times New Roman"/>
          <w:sz w:val="32"/>
          <w:szCs w:val="32"/>
          <w:lang w:val="zh-CN"/>
        </w:rPr>
      </w:pPr>
    </w:p>
    <w:p>
      <w:pPr>
        <w:pStyle w:val="2"/>
        <w:rPr>
          <w:rFonts w:hint="default" w:ascii="Times New Roman" w:hAnsi="Times New Roman" w:eastAsia="仿宋_GB2312" w:cs="Times New Roman"/>
          <w:sz w:val="32"/>
          <w:szCs w:val="32"/>
          <w:lang w:val="zh-CN"/>
        </w:rPr>
      </w:pPr>
    </w:p>
    <w:p>
      <w:pPr>
        <w:pStyle w:val="2"/>
        <w:rPr>
          <w:rFonts w:hint="default" w:ascii="Times New Roman" w:hAnsi="Times New Roman" w:eastAsia="仿宋_GB2312" w:cs="Times New Roman"/>
          <w:sz w:val="32"/>
          <w:szCs w:val="32"/>
          <w:lang w:val="zh-CN"/>
        </w:rPr>
      </w:pPr>
    </w:p>
    <w:p>
      <w:pPr>
        <w:spacing w:line="580" w:lineRule="exact"/>
        <w:rPr>
          <w:rFonts w:hint="default" w:ascii="Times New Roman" w:hAnsi="Times New Roman" w:eastAsia="仿宋_GB2312" w:cs="Times New Roman"/>
          <w:sz w:val="32"/>
          <w:szCs w:val="32"/>
          <w:lang w:val="zh-CN"/>
        </w:rPr>
      </w:pPr>
    </w:p>
    <w:p>
      <w:pPr>
        <w:spacing w:line="600" w:lineRule="exact"/>
        <w:jc w:val="center"/>
        <w:outlineLvl w:val="0"/>
        <w:rPr>
          <w:rStyle w:val="25"/>
          <w:rFonts w:hint="default" w:ascii="Times New Roman" w:hAnsi="Times New Roman" w:eastAsia="黑体" w:cs="Times New Roman"/>
          <w:b w:val="0"/>
        </w:rPr>
      </w:pPr>
      <w:bookmarkStart w:id="64" w:name="_Toc51100220"/>
      <w:r>
        <w:rPr>
          <w:rFonts w:hint="default" w:ascii="Times New Roman" w:hAnsi="Times New Roman" w:eastAsia="黑体" w:cs="Times New Roman"/>
          <w:color w:val="000000"/>
          <w:sz w:val="44"/>
          <w:szCs w:val="44"/>
        </w:rPr>
        <w:t>第</w:t>
      </w:r>
      <w:r>
        <w:rPr>
          <w:rStyle w:val="25"/>
          <w:rFonts w:hint="default" w:ascii="Times New Roman" w:hAnsi="Times New Roman" w:eastAsia="黑体" w:cs="Times New Roman"/>
          <w:b w:val="0"/>
        </w:rPr>
        <w:t>五部分 附表</w:t>
      </w:r>
      <w:bookmarkEnd w:id="58"/>
      <w:bookmarkEnd w:id="64"/>
    </w:p>
    <w:p>
      <w:pPr>
        <w:pStyle w:val="4"/>
        <w:spacing w:line="520" w:lineRule="exact"/>
        <w:rPr>
          <w:rFonts w:hint="default" w:ascii="Times New Roman" w:hAnsi="Times New Roman" w:eastAsia="仿宋" w:cs="Times New Roman"/>
          <w:color w:val="000000"/>
        </w:rPr>
      </w:pPr>
      <w:bookmarkStart w:id="65" w:name="_Toc51100221"/>
      <w:r>
        <w:rPr>
          <w:rFonts w:hint="default" w:ascii="Times New Roman" w:hAnsi="Times New Roman" w:eastAsia="仿宋" w:cs="Times New Roman"/>
          <w:b w:val="0"/>
          <w:color w:val="000000"/>
        </w:rPr>
        <w:t>一、收</w:t>
      </w:r>
      <w:r>
        <w:rPr>
          <w:rStyle w:val="26"/>
          <w:rFonts w:hint="default" w:ascii="Times New Roman" w:hAnsi="Times New Roman" w:eastAsia="仿宋" w:cs="Times New Roman"/>
          <w:b w:val="0"/>
          <w:bCs w:val="0"/>
        </w:rPr>
        <w:t>入支出决算总表</w:t>
      </w:r>
      <w:bookmarkEnd w:id="65"/>
    </w:p>
    <w:p>
      <w:pPr>
        <w:pStyle w:val="4"/>
        <w:spacing w:line="520" w:lineRule="exact"/>
        <w:rPr>
          <w:rFonts w:hint="default" w:ascii="Times New Roman" w:hAnsi="Times New Roman" w:eastAsia="仿宋" w:cs="Times New Roman"/>
          <w:color w:val="000000"/>
        </w:rPr>
      </w:pPr>
      <w:bookmarkStart w:id="66" w:name="_Toc51100222"/>
      <w:r>
        <w:rPr>
          <w:rFonts w:hint="default" w:ascii="Times New Roman" w:hAnsi="Times New Roman" w:eastAsia="仿宋" w:cs="Times New Roman"/>
          <w:b w:val="0"/>
          <w:color w:val="000000"/>
        </w:rPr>
        <w:t>二、收</w:t>
      </w:r>
      <w:r>
        <w:rPr>
          <w:rStyle w:val="26"/>
          <w:rFonts w:hint="default" w:ascii="Times New Roman" w:hAnsi="Times New Roman" w:eastAsia="仿宋" w:cs="Times New Roman"/>
          <w:b w:val="0"/>
          <w:bCs w:val="0"/>
        </w:rPr>
        <w:t>入决算表</w:t>
      </w:r>
      <w:bookmarkEnd w:id="66"/>
    </w:p>
    <w:p>
      <w:pPr>
        <w:pStyle w:val="4"/>
        <w:spacing w:line="520" w:lineRule="exact"/>
        <w:rPr>
          <w:rFonts w:hint="default" w:ascii="Times New Roman" w:hAnsi="Times New Roman" w:eastAsia="仿宋" w:cs="Times New Roman"/>
          <w:color w:val="000000"/>
        </w:rPr>
      </w:pPr>
      <w:bookmarkStart w:id="67" w:name="_Toc51100223"/>
      <w:r>
        <w:rPr>
          <w:rStyle w:val="26"/>
          <w:rFonts w:hint="default" w:ascii="Times New Roman" w:hAnsi="Times New Roman" w:eastAsia="仿宋" w:cs="Times New Roman"/>
          <w:b w:val="0"/>
          <w:bCs w:val="0"/>
        </w:rPr>
        <w:t>三、</w:t>
      </w:r>
      <w:r>
        <w:rPr>
          <w:rFonts w:hint="default" w:ascii="Times New Roman" w:hAnsi="Times New Roman" w:eastAsia="仿宋" w:cs="Times New Roman"/>
          <w:b w:val="0"/>
          <w:color w:val="000000"/>
        </w:rPr>
        <w:t>支</w:t>
      </w:r>
      <w:r>
        <w:rPr>
          <w:rStyle w:val="26"/>
          <w:rFonts w:hint="default" w:ascii="Times New Roman" w:hAnsi="Times New Roman" w:eastAsia="仿宋" w:cs="Times New Roman"/>
          <w:b w:val="0"/>
          <w:bCs w:val="0"/>
        </w:rPr>
        <w:t>出决算表</w:t>
      </w:r>
      <w:bookmarkEnd w:id="67"/>
    </w:p>
    <w:p>
      <w:pPr>
        <w:pStyle w:val="4"/>
        <w:spacing w:line="520" w:lineRule="exact"/>
        <w:rPr>
          <w:rFonts w:hint="default" w:ascii="Times New Roman" w:hAnsi="Times New Roman" w:eastAsia="仿宋" w:cs="Times New Roman"/>
          <w:b w:val="0"/>
          <w:color w:val="000000"/>
        </w:rPr>
      </w:pPr>
      <w:bookmarkStart w:id="68" w:name="_Toc51100224"/>
      <w:r>
        <w:rPr>
          <w:rStyle w:val="26"/>
          <w:rFonts w:hint="default" w:ascii="Times New Roman" w:hAnsi="Times New Roman" w:eastAsia="仿宋" w:cs="Times New Roman"/>
          <w:b w:val="0"/>
          <w:bCs w:val="0"/>
        </w:rPr>
        <w:t>四、</w:t>
      </w:r>
      <w:r>
        <w:rPr>
          <w:rFonts w:hint="default" w:ascii="Times New Roman" w:hAnsi="Times New Roman" w:eastAsia="仿宋" w:cs="Times New Roman"/>
          <w:b w:val="0"/>
          <w:color w:val="000000"/>
        </w:rPr>
        <w:t>财</w:t>
      </w:r>
      <w:r>
        <w:rPr>
          <w:rStyle w:val="26"/>
          <w:rFonts w:hint="default" w:ascii="Times New Roman" w:hAnsi="Times New Roman" w:eastAsia="仿宋" w:cs="Times New Roman"/>
          <w:b w:val="0"/>
          <w:bCs w:val="0"/>
        </w:rPr>
        <w:t>政拨款收入支出决算总表</w:t>
      </w:r>
      <w:bookmarkEnd w:id="68"/>
    </w:p>
    <w:p>
      <w:pPr>
        <w:pStyle w:val="4"/>
        <w:spacing w:line="520" w:lineRule="exact"/>
        <w:rPr>
          <w:rFonts w:hint="default" w:ascii="Times New Roman" w:hAnsi="Times New Roman" w:eastAsia="仿宋" w:cs="Times New Roman"/>
          <w:color w:val="000000"/>
        </w:rPr>
      </w:pPr>
      <w:bookmarkStart w:id="69" w:name="_Toc51100225"/>
      <w:r>
        <w:rPr>
          <w:rStyle w:val="26"/>
          <w:rFonts w:hint="default" w:ascii="Times New Roman" w:hAnsi="Times New Roman" w:eastAsia="仿宋" w:cs="Times New Roman"/>
          <w:b w:val="0"/>
          <w:bCs w:val="0"/>
        </w:rPr>
        <w:t>五、</w:t>
      </w:r>
      <w:r>
        <w:rPr>
          <w:rFonts w:hint="default" w:ascii="Times New Roman" w:hAnsi="Times New Roman" w:eastAsia="仿宋" w:cs="Times New Roman"/>
          <w:b w:val="0"/>
          <w:color w:val="000000"/>
        </w:rPr>
        <w:t>财</w:t>
      </w:r>
      <w:r>
        <w:rPr>
          <w:rStyle w:val="26"/>
          <w:rFonts w:hint="default" w:ascii="Times New Roman" w:hAnsi="Times New Roman" w:eastAsia="仿宋" w:cs="Times New Roman"/>
          <w:b w:val="0"/>
          <w:bCs w:val="0"/>
        </w:rPr>
        <w:t>政拨款支出决算明细表</w:t>
      </w:r>
      <w:bookmarkEnd w:id="69"/>
    </w:p>
    <w:p>
      <w:pPr>
        <w:pStyle w:val="4"/>
        <w:spacing w:line="520" w:lineRule="exact"/>
        <w:rPr>
          <w:rFonts w:hint="default" w:ascii="Times New Roman" w:hAnsi="Times New Roman" w:eastAsia="仿宋" w:cs="Times New Roman"/>
          <w:color w:val="000000"/>
        </w:rPr>
      </w:pPr>
      <w:bookmarkStart w:id="70" w:name="_Toc51100226"/>
      <w:r>
        <w:rPr>
          <w:rStyle w:val="26"/>
          <w:rFonts w:hint="default" w:ascii="Times New Roman" w:hAnsi="Times New Roman" w:eastAsia="仿宋" w:cs="Times New Roman"/>
          <w:b w:val="0"/>
          <w:bCs w:val="0"/>
        </w:rPr>
        <w:t>六、</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般公共预算财政拨款支出决算表</w:t>
      </w:r>
      <w:bookmarkEnd w:id="70"/>
    </w:p>
    <w:p>
      <w:pPr>
        <w:pStyle w:val="4"/>
        <w:spacing w:line="520" w:lineRule="exact"/>
        <w:rPr>
          <w:rFonts w:hint="default" w:ascii="Times New Roman" w:hAnsi="Times New Roman" w:eastAsia="仿宋" w:cs="Times New Roman"/>
          <w:color w:val="000000"/>
        </w:rPr>
      </w:pPr>
      <w:bookmarkStart w:id="71" w:name="_Toc51100227"/>
      <w:r>
        <w:rPr>
          <w:rStyle w:val="26"/>
          <w:rFonts w:hint="default" w:ascii="Times New Roman" w:hAnsi="Times New Roman" w:eastAsia="仿宋" w:cs="Times New Roman"/>
          <w:b w:val="0"/>
          <w:bCs w:val="0"/>
        </w:rPr>
        <w:t>七、</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般公共预算财政拨款支出决算明细表</w:t>
      </w:r>
      <w:bookmarkEnd w:id="71"/>
    </w:p>
    <w:p>
      <w:pPr>
        <w:pStyle w:val="4"/>
        <w:spacing w:line="520" w:lineRule="exact"/>
        <w:rPr>
          <w:rFonts w:hint="default" w:ascii="Times New Roman" w:hAnsi="Times New Roman" w:eastAsia="仿宋" w:cs="Times New Roman"/>
          <w:color w:val="000000"/>
        </w:rPr>
      </w:pPr>
      <w:bookmarkStart w:id="72" w:name="_Toc51100228"/>
      <w:r>
        <w:rPr>
          <w:rStyle w:val="26"/>
          <w:rFonts w:hint="default" w:ascii="Times New Roman" w:hAnsi="Times New Roman" w:eastAsia="仿宋" w:cs="Times New Roman"/>
          <w:b w:val="0"/>
          <w:bCs w:val="0"/>
        </w:rPr>
        <w:t>八、</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般公共预算财政拨款基本支出决算表</w:t>
      </w:r>
      <w:bookmarkEnd w:id="72"/>
    </w:p>
    <w:p>
      <w:pPr>
        <w:pStyle w:val="4"/>
        <w:spacing w:line="520" w:lineRule="exact"/>
        <w:rPr>
          <w:rFonts w:hint="default" w:ascii="Times New Roman" w:hAnsi="Times New Roman" w:eastAsia="仿宋" w:cs="Times New Roman"/>
          <w:color w:val="000000"/>
        </w:rPr>
      </w:pPr>
      <w:bookmarkStart w:id="73" w:name="_Toc51100229"/>
      <w:r>
        <w:rPr>
          <w:rStyle w:val="26"/>
          <w:rFonts w:hint="default" w:ascii="Times New Roman" w:hAnsi="Times New Roman" w:eastAsia="仿宋" w:cs="Times New Roman"/>
          <w:b w:val="0"/>
          <w:bCs w:val="0"/>
        </w:rPr>
        <w:t>九、</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般公共预算财政拨款项目支出决算表</w:t>
      </w:r>
      <w:bookmarkEnd w:id="73"/>
    </w:p>
    <w:p>
      <w:pPr>
        <w:pStyle w:val="4"/>
        <w:spacing w:line="520" w:lineRule="exact"/>
        <w:rPr>
          <w:rFonts w:hint="default" w:ascii="Times New Roman" w:hAnsi="Times New Roman" w:eastAsia="仿宋" w:cs="Times New Roman"/>
          <w:color w:val="000000"/>
        </w:rPr>
      </w:pPr>
      <w:bookmarkStart w:id="74" w:name="_Toc51100230"/>
      <w:r>
        <w:rPr>
          <w:rStyle w:val="26"/>
          <w:rFonts w:hint="default" w:ascii="Times New Roman" w:hAnsi="Times New Roman" w:eastAsia="仿宋" w:cs="Times New Roman"/>
          <w:b w:val="0"/>
          <w:bCs w:val="0"/>
        </w:rPr>
        <w:t>十、</w:t>
      </w:r>
      <w:r>
        <w:rPr>
          <w:rFonts w:hint="default" w:ascii="Times New Roman" w:hAnsi="Times New Roman" w:eastAsia="仿宋" w:cs="Times New Roman"/>
          <w:b w:val="0"/>
          <w:color w:val="000000"/>
        </w:rPr>
        <w:t>一</w:t>
      </w:r>
      <w:r>
        <w:rPr>
          <w:rStyle w:val="26"/>
          <w:rFonts w:hint="default" w:ascii="Times New Roman" w:hAnsi="Times New Roman" w:eastAsia="仿宋" w:cs="Times New Roman"/>
          <w:b w:val="0"/>
          <w:bCs w:val="0"/>
        </w:rPr>
        <w:t>般公共预算财政拨款“三公”经费支出决算表</w:t>
      </w:r>
      <w:bookmarkEnd w:id="74"/>
    </w:p>
    <w:p>
      <w:pPr>
        <w:pStyle w:val="4"/>
        <w:spacing w:line="520" w:lineRule="exact"/>
        <w:rPr>
          <w:rStyle w:val="26"/>
          <w:rFonts w:hint="default" w:ascii="Times New Roman" w:hAnsi="Times New Roman" w:eastAsia="仿宋" w:cs="Times New Roman"/>
          <w:b w:val="0"/>
          <w:bCs w:val="0"/>
        </w:rPr>
      </w:pPr>
      <w:bookmarkStart w:id="75" w:name="_Toc51100231"/>
      <w:r>
        <w:rPr>
          <w:rStyle w:val="26"/>
          <w:rFonts w:hint="default" w:ascii="Times New Roman" w:hAnsi="Times New Roman" w:eastAsia="仿宋" w:cs="Times New Roman"/>
          <w:b w:val="0"/>
          <w:bCs w:val="0"/>
        </w:rPr>
        <w:t>十一、</w:t>
      </w:r>
      <w:r>
        <w:rPr>
          <w:rFonts w:hint="default" w:ascii="Times New Roman" w:hAnsi="Times New Roman" w:eastAsia="仿宋" w:cs="Times New Roman"/>
          <w:b w:val="0"/>
          <w:color w:val="000000"/>
        </w:rPr>
        <w:t>政</w:t>
      </w:r>
      <w:r>
        <w:rPr>
          <w:rStyle w:val="26"/>
          <w:rFonts w:hint="default" w:ascii="Times New Roman" w:hAnsi="Times New Roman" w:eastAsia="仿宋" w:cs="Times New Roman"/>
          <w:b w:val="0"/>
          <w:bCs w:val="0"/>
        </w:rPr>
        <w:t>府性基金预算财政拨款收入支出决算表</w:t>
      </w:r>
      <w:bookmarkEnd w:id="75"/>
      <w:bookmarkStart w:id="76" w:name="_Toc51100232"/>
    </w:p>
    <w:p>
      <w:pPr>
        <w:pStyle w:val="4"/>
        <w:spacing w:line="520" w:lineRule="exact"/>
        <w:rPr>
          <w:rStyle w:val="26"/>
          <w:rFonts w:hint="default" w:ascii="Times New Roman" w:hAnsi="Times New Roman" w:eastAsia="仿宋" w:cs="Times New Roman"/>
          <w:b w:val="0"/>
          <w:bCs w:val="0"/>
        </w:rPr>
      </w:pPr>
      <w:r>
        <w:rPr>
          <w:rStyle w:val="26"/>
          <w:rFonts w:hint="default" w:ascii="Times New Roman" w:hAnsi="Times New Roman" w:eastAsia="仿宋" w:cs="Times New Roman"/>
          <w:b w:val="0"/>
          <w:bCs w:val="0"/>
        </w:rPr>
        <w:t>十二、</w:t>
      </w:r>
      <w:r>
        <w:rPr>
          <w:rFonts w:hint="default" w:ascii="Times New Roman" w:hAnsi="Times New Roman" w:eastAsia="仿宋" w:cs="Times New Roman"/>
          <w:b w:val="0"/>
          <w:color w:val="000000"/>
        </w:rPr>
        <w:t>政</w:t>
      </w:r>
      <w:r>
        <w:rPr>
          <w:rStyle w:val="26"/>
          <w:rFonts w:hint="default" w:ascii="Times New Roman" w:hAnsi="Times New Roman" w:eastAsia="仿宋" w:cs="Times New Roman"/>
          <w:b w:val="0"/>
          <w:bCs w:val="0"/>
        </w:rPr>
        <w:t>府性基金预算财政拨款“三公”经费支出决算表</w:t>
      </w:r>
      <w:bookmarkEnd w:id="76"/>
      <w:bookmarkStart w:id="77" w:name="_Toc51100233"/>
      <w:r>
        <w:rPr>
          <w:rStyle w:val="26"/>
          <w:rFonts w:hint="default" w:ascii="Times New Roman" w:hAnsi="Times New Roman" w:eastAsia="仿宋" w:cs="Times New Roman"/>
          <w:b w:val="0"/>
          <w:bCs w:val="0"/>
        </w:rPr>
        <w:t>（此表无数据）</w:t>
      </w:r>
    </w:p>
    <w:p>
      <w:pPr>
        <w:pStyle w:val="4"/>
        <w:spacing w:line="520" w:lineRule="exact"/>
        <w:rPr>
          <w:rStyle w:val="26"/>
          <w:rFonts w:hint="default" w:ascii="Times New Roman" w:hAnsi="Times New Roman" w:eastAsia="仿宋" w:cs="Times New Roman"/>
          <w:b w:val="0"/>
          <w:bCs w:val="0"/>
        </w:rPr>
      </w:pPr>
      <w:r>
        <w:rPr>
          <w:rStyle w:val="26"/>
          <w:rFonts w:hint="default" w:ascii="Times New Roman" w:hAnsi="Times New Roman" w:eastAsia="仿宋" w:cs="Times New Roman"/>
          <w:b w:val="0"/>
          <w:bCs w:val="0"/>
        </w:rPr>
        <w:t>十三、</w:t>
      </w:r>
      <w:r>
        <w:rPr>
          <w:rFonts w:hint="default" w:ascii="Times New Roman" w:hAnsi="Times New Roman" w:eastAsia="仿宋" w:cs="Times New Roman"/>
          <w:b w:val="0"/>
          <w:color w:val="000000"/>
        </w:rPr>
        <w:t>国</w:t>
      </w:r>
      <w:r>
        <w:rPr>
          <w:rStyle w:val="26"/>
          <w:rFonts w:hint="default" w:ascii="Times New Roman" w:hAnsi="Times New Roman" w:eastAsia="仿宋" w:cs="Times New Roman"/>
          <w:b w:val="0"/>
          <w:bCs w:val="0"/>
        </w:rPr>
        <w:t>有资本经营预算财政拨款收入支出决算表</w:t>
      </w:r>
      <w:bookmarkEnd w:id="77"/>
      <w:r>
        <w:rPr>
          <w:rStyle w:val="26"/>
          <w:rFonts w:hint="default" w:ascii="Times New Roman" w:hAnsi="Times New Roman" w:eastAsia="仿宋" w:cs="Times New Roman"/>
          <w:b w:val="0"/>
          <w:bCs w:val="0"/>
        </w:rPr>
        <w:t>（此表无数据）</w:t>
      </w:r>
    </w:p>
    <w:p>
      <w:pPr>
        <w:pStyle w:val="4"/>
        <w:spacing w:line="520" w:lineRule="exact"/>
        <w:rPr>
          <w:rStyle w:val="25"/>
          <w:rFonts w:hint="default" w:ascii="Times New Roman" w:hAnsi="Times New Roman" w:eastAsia="仿宋" w:cs="Times New Roman"/>
          <w:b w:val="0"/>
          <w:bCs w:val="0"/>
          <w:kern w:val="2"/>
          <w:sz w:val="32"/>
          <w:szCs w:val="32"/>
        </w:rPr>
      </w:pPr>
      <w:r>
        <w:rPr>
          <w:rStyle w:val="26"/>
          <w:rFonts w:hint="default" w:ascii="Times New Roman" w:hAnsi="Times New Roman" w:eastAsia="仿宋" w:cs="Times New Roman"/>
          <w:b w:val="0"/>
          <w:bCs w:val="0"/>
        </w:rPr>
        <w:t>十四、</w:t>
      </w:r>
      <w:r>
        <w:rPr>
          <w:rFonts w:hint="default" w:ascii="Times New Roman" w:hAnsi="Times New Roman" w:eastAsia="仿宋" w:cs="Times New Roman"/>
          <w:b w:val="0"/>
          <w:color w:val="000000"/>
        </w:rPr>
        <w:t>国</w:t>
      </w:r>
      <w:r>
        <w:rPr>
          <w:rStyle w:val="26"/>
          <w:rFonts w:hint="default" w:ascii="Times New Roman" w:hAnsi="Times New Roman" w:eastAsia="仿宋" w:cs="Times New Roman"/>
          <w:b w:val="0"/>
          <w:bCs w:val="0"/>
        </w:rPr>
        <w:t>有资本经营预算财政拨款支出决算表（此表无数据）</w:t>
      </w:r>
    </w:p>
    <w:p>
      <w:pPr>
        <w:rPr>
          <w:rFonts w:hint="default" w:ascii="Times New Roman" w:hAnsi="Times New Roman" w:cs="Times New Roman"/>
        </w:rPr>
      </w:pPr>
    </w:p>
    <w:sectPr>
      <w:footerReference r:id="rId6" w:type="first"/>
      <w:headerReference r:id="rId3" w:type="default"/>
      <w:footerReference r:id="rId4" w:type="default"/>
      <w:footerReference r:id="rId5" w:type="even"/>
      <w:pgSz w:w="11906" w:h="16838"/>
      <w:pgMar w:top="1440" w:right="1558"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269454"/>
      <w:docPartObj>
        <w:docPartGallery w:val="autotext"/>
      </w:docPartObj>
    </w:sdtPr>
    <w:sdtEndPr>
      <w:rPr>
        <w:rFonts w:asciiTheme="minorEastAsia" w:hAnsiTheme="minorEastAsia" w:eastAsiaTheme="minorEastAsia"/>
        <w:sz w:val="28"/>
        <w:szCs w:val="28"/>
      </w:rPr>
    </w:sdtEndPr>
    <w:sdtContent>
      <w:p>
        <w:pPr>
          <w:pStyle w:val="9"/>
          <w:ind w:right="27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1197194364"/>
      <w:docPartObj>
        <w:docPartGallery w:val="autotext"/>
      </w:docPartObj>
    </w:sdtPr>
    <w:sdtEndPr>
      <w:rPr>
        <w:rFonts w:asciiTheme="minorEastAsia" w:hAnsiTheme="minorEastAsia" w:eastAsiaTheme="minorEastAsia"/>
        <w:sz w:val="28"/>
        <w:szCs w:val="28"/>
      </w:rPr>
    </w:sdtEndPr>
    <w:sdtContent>
      <w:p>
        <w:pPr>
          <w:pStyle w:val="9"/>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p>
    </w:sdtContent>
  </w:sdt>
  <w:p>
    <w:pPr>
      <w:pStyle w:val="9"/>
      <w:rPr>
        <w:rFonts w:asciiTheme="minorEastAsia" w:hAnsiTheme="minorEastAsia" w:eastAsia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
    <w:nsid w:val="6336809F"/>
    <w:multiLevelType w:val="singleLevel"/>
    <w:tmpl w:val="6336809F"/>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0375"/>
    <w:rsid w:val="00000D75"/>
    <w:rsid w:val="0000426D"/>
    <w:rsid w:val="00010AFB"/>
    <w:rsid w:val="000222C6"/>
    <w:rsid w:val="0002549F"/>
    <w:rsid w:val="00025C87"/>
    <w:rsid w:val="00032E1E"/>
    <w:rsid w:val="00033E3C"/>
    <w:rsid w:val="0003423B"/>
    <w:rsid w:val="00034F2B"/>
    <w:rsid w:val="000501D8"/>
    <w:rsid w:val="000518D9"/>
    <w:rsid w:val="000525EF"/>
    <w:rsid w:val="00061CC4"/>
    <w:rsid w:val="00063EDF"/>
    <w:rsid w:val="0006487A"/>
    <w:rsid w:val="00065F8F"/>
    <w:rsid w:val="00067F95"/>
    <w:rsid w:val="0007096C"/>
    <w:rsid w:val="00071C4F"/>
    <w:rsid w:val="000768F2"/>
    <w:rsid w:val="00077A95"/>
    <w:rsid w:val="0008263E"/>
    <w:rsid w:val="0009184B"/>
    <w:rsid w:val="0009593C"/>
    <w:rsid w:val="000A0633"/>
    <w:rsid w:val="000A3EF7"/>
    <w:rsid w:val="000B047F"/>
    <w:rsid w:val="000B5923"/>
    <w:rsid w:val="000B5A48"/>
    <w:rsid w:val="000B6FF3"/>
    <w:rsid w:val="000C3467"/>
    <w:rsid w:val="000C3CA6"/>
    <w:rsid w:val="000C7606"/>
    <w:rsid w:val="000D1267"/>
    <w:rsid w:val="000D1D50"/>
    <w:rsid w:val="000D5782"/>
    <w:rsid w:val="000E3BD0"/>
    <w:rsid w:val="000E5789"/>
    <w:rsid w:val="000E6613"/>
    <w:rsid w:val="000E7119"/>
    <w:rsid w:val="000F5947"/>
    <w:rsid w:val="00103EB4"/>
    <w:rsid w:val="00114E9B"/>
    <w:rsid w:val="001304FD"/>
    <w:rsid w:val="001328E9"/>
    <w:rsid w:val="0014729F"/>
    <w:rsid w:val="00152EF4"/>
    <w:rsid w:val="00153D4C"/>
    <w:rsid w:val="00157BAB"/>
    <w:rsid w:val="001654D1"/>
    <w:rsid w:val="00166C43"/>
    <w:rsid w:val="0018106D"/>
    <w:rsid w:val="001877A7"/>
    <w:rsid w:val="001907BB"/>
    <w:rsid w:val="00191536"/>
    <w:rsid w:val="00196687"/>
    <w:rsid w:val="001A4DCD"/>
    <w:rsid w:val="001A7921"/>
    <w:rsid w:val="001B3916"/>
    <w:rsid w:val="001B4C89"/>
    <w:rsid w:val="001C06E5"/>
    <w:rsid w:val="001C0962"/>
    <w:rsid w:val="001C52C4"/>
    <w:rsid w:val="001D002D"/>
    <w:rsid w:val="001D0E59"/>
    <w:rsid w:val="001D63CD"/>
    <w:rsid w:val="001D68C0"/>
    <w:rsid w:val="001D7531"/>
    <w:rsid w:val="001E6623"/>
    <w:rsid w:val="001E737D"/>
    <w:rsid w:val="001F027C"/>
    <w:rsid w:val="001F0592"/>
    <w:rsid w:val="001F4C58"/>
    <w:rsid w:val="001F7506"/>
    <w:rsid w:val="00200231"/>
    <w:rsid w:val="002006CD"/>
    <w:rsid w:val="00200D7F"/>
    <w:rsid w:val="00202B36"/>
    <w:rsid w:val="00204B7A"/>
    <w:rsid w:val="0021101A"/>
    <w:rsid w:val="00220473"/>
    <w:rsid w:val="00220536"/>
    <w:rsid w:val="00230F01"/>
    <w:rsid w:val="00235629"/>
    <w:rsid w:val="002370C5"/>
    <w:rsid w:val="00244677"/>
    <w:rsid w:val="00246AEB"/>
    <w:rsid w:val="00250E53"/>
    <w:rsid w:val="00252A65"/>
    <w:rsid w:val="00256CAB"/>
    <w:rsid w:val="002575BA"/>
    <w:rsid w:val="00260C38"/>
    <w:rsid w:val="002616C0"/>
    <w:rsid w:val="002662AA"/>
    <w:rsid w:val="0027679E"/>
    <w:rsid w:val="0027700A"/>
    <w:rsid w:val="00277B19"/>
    <w:rsid w:val="00280496"/>
    <w:rsid w:val="00281D5C"/>
    <w:rsid w:val="002844FF"/>
    <w:rsid w:val="002915A6"/>
    <w:rsid w:val="00293B5C"/>
    <w:rsid w:val="00295495"/>
    <w:rsid w:val="00296E3E"/>
    <w:rsid w:val="002A6ADF"/>
    <w:rsid w:val="002A780E"/>
    <w:rsid w:val="002B2613"/>
    <w:rsid w:val="002C2C4A"/>
    <w:rsid w:val="002C4B90"/>
    <w:rsid w:val="002C525D"/>
    <w:rsid w:val="002C7AF6"/>
    <w:rsid w:val="002D1342"/>
    <w:rsid w:val="002D1BEE"/>
    <w:rsid w:val="002D5E9F"/>
    <w:rsid w:val="002E1231"/>
    <w:rsid w:val="002F1818"/>
    <w:rsid w:val="002F2431"/>
    <w:rsid w:val="002F567B"/>
    <w:rsid w:val="002F6844"/>
    <w:rsid w:val="0031015D"/>
    <w:rsid w:val="00315063"/>
    <w:rsid w:val="003216A9"/>
    <w:rsid w:val="00322C79"/>
    <w:rsid w:val="00324C7C"/>
    <w:rsid w:val="00326DF6"/>
    <w:rsid w:val="00356A98"/>
    <w:rsid w:val="003647AD"/>
    <w:rsid w:val="00364D41"/>
    <w:rsid w:val="0037013F"/>
    <w:rsid w:val="00380225"/>
    <w:rsid w:val="00380C92"/>
    <w:rsid w:val="00381120"/>
    <w:rsid w:val="00382B78"/>
    <w:rsid w:val="00394FB9"/>
    <w:rsid w:val="003A484F"/>
    <w:rsid w:val="003B02DD"/>
    <w:rsid w:val="003B0BE0"/>
    <w:rsid w:val="003B0C1B"/>
    <w:rsid w:val="003B688C"/>
    <w:rsid w:val="003B6F57"/>
    <w:rsid w:val="003C0291"/>
    <w:rsid w:val="003C1246"/>
    <w:rsid w:val="003C39AE"/>
    <w:rsid w:val="003C7B60"/>
    <w:rsid w:val="003D1FB2"/>
    <w:rsid w:val="003D24BE"/>
    <w:rsid w:val="003D2921"/>
    <w:rsid w:val="003D3558"/>
    <w:rsid w:val="003D66DA"/>
    <w:rsid w:val="003E1310"/>
    <w:rsid w:val="003E21F0"/>
    <w:rsid w:val="003E6F55"/>
    <w:rsid w:val="004056B4"/>
    <w:rsid w:val="00406254"/>
    <w:rsid w:val="004119B3"/>
    <w:rsid w:val="004178DA"/>
    <w:rsid w:val="004223DE"/>
    <w:rsid w:val="00423F23"/>
    <w:rsid w:val="00434489"/>
    <w:rsid w:val="00437085"/>
    <w:rsid w:val="00437D42"/>
    <w:rsid w:val="00443880"/>
    <w:rsid w:val="004464F4"/>
    <w:rsid w:val="004526DE"/>
    <w:rsid w:val="004565B4"/>
    <w:rsid w:val="00471401"/>
    <w:rsid w:val="004736FF"/>
    <w:rsid w:val="00473E90"/>
    <w:rsid w:val="00473F31"/>
    <w:rsid w:val="00474968"/>
    <w:rsid w:val="0048263A"/>
    <w:rsid w:val="00487E5D"/>
    <w:rsid w:val="00495932"/>
    <w:rsid w:val="00497B35"/>
    <w:rsid w:val="004A3F09"/>
    <w:rsid w:val="004A621A"/>
    <w:rsid w:val="004A711F"/>
    <w:rsid w:val="004A7BFB"/>
    <w:rsid w:val="004B199D"/>
    <w:rsid w:val="004B4690"/>
    <w:rsid w:val="004B5182"/>
    <w:rsid w:val="004C03DE"/>
    <w:rsid w:val="004C7C99"/>
    <w:rsid w:val="004D2835"/>
    <w:rsid w:val="004E0A2D"/>
    <w:rsid w:val="004E206B"/>
    <w:rsid w:val="004E6DF7"/>
    <w:rsid w:val="004F0FBD"/>
    <w:rsid w:val="004F1A4B"/>
    <w:rsid w:val="0050044E"/>
    <w:rsid w:val="0050287B"/>
    <w:rsid w:val="00505A47"/>
    <w:rsid w:val="00512FDA"/>
    <w:rsid w:val="00520D9C"/>
    <w:rsid w:val="00520DA0"/>
    <w:rsid w:val="00522762"/>
    <w:rsid w:val="0054353E"/>
    <w:rsid w:val="00543A25"/>
    <w:rsid w:val="0055354E"/>
    <w:rsid w:val="00555120"/>
    <w:rsid w:val="005603E9"/>
    <w:rsid w:val="00563E85"/>
    <w:rsid w:val="005664BB"/>
    <w:rsid w:val="005701EC"/>
    <w:rsid w:val="0057481D"/>
    <w:rsid w:val="005801C6"/>
    <w:rsid w:val="0058486E"/>
    <w:rsid w:val="005864EF"/>
    <w:rsid w:val="00586617"/>
    <w:rsid w:val="00590861"/>
    <w:rsid w:val="00595DCF"/>
    <w:rsid w:val="005A14B6"/>
    <w:rsid w:val="005A155E"/>
    <w:rsid w:val="005A4EC0"/>
    <w:rsid w:val="005A6AA9"/>
    <w:rsid w:val="005B0C33"/>
    <w:rsid w:val="005C62CD"/>
    <w:rsid w:val="005D1C8B"/>
    <w:rsid w:val="005D26E2"/>
    <w:rsid w:val="005D2A25"/>
    <w:rsid w:val="005D5CED"/>
    <w:rsid w:val="005E03E7"/>
    <w:rsid w:val="005E3591"/>
    <w:rsid w:val="005E53F5"/>
    <w:rsid w:val="005F1A4C"/>
    <w:rsid w:val="00603B43"/>
    <w:rsid w:val="00605688"/>
    <w:rsid w:val="006070AF"/>
    <w:rsid w:val="006073C3"/>
    <w:rsid w:val="00607E6C"/>
    <w:rsid w:val="006101B1"/>
    <w:rsid w:val="00614E44"/>
    <w:rsid w:val="00617C29"/>
    <w:rsid w:val="00621AC6"/>
    <w:rsid w:val="00622830"/>
    <w:rsid w:val="00623D46"/>
    <w:rsid w:val="00626214"/>
    <w:rsid w:val="0062718C"/>
    <w:rsid w:val="00630AEF"/>
    <w:rsid w:val="006325F8"/>
    <w:rsid w:val="00634C9A"/>
    <w:rsid w:val="00636148"/>
    <w:rsid w:val="006403F5"/>
    <w:rsid w:val="006440E4"/>
    <w:rsid w:val="0065000F"/>
    <w:rsid w:val="00650A4A"/>
    <w:rsid w:val="00655CFA"/>
    <w:rsid w:val="00656377"/>
    <w:rsid w:val="0066343B"/>
    <w:rsid w:val="00664777"/>
    <w:rsid w:val="006721E5"/>
    <w:rsid w:val="006748A4"/>
    <w:rsid w:val="00677427"/>
    <w:rsid w:val="0068394F"/>
    <w:rsid w:val="00683E73"/>
    <w:rsid w:val="006A3141"/>
    <w:rsid w:val="006A5E34"/>
    <w:rsid w:val="006B2422"/>
    <w:rsid w:val="006B2B9A"/>
    <w:rsid w:val="006B33A2"/>
    <w:rsid w:val="006B549A"/>
    <w:rsid w:val="006C1937"/>
    <w:rsid w:val="006E5551"/>
    <w:rsid w:val="006F020C"/>
    <w:rsid w:val="006F096D"/>
    <w:rsid w:val="006F2661"/>
    <w:rsid w:val="007127B7"/>
    <w:rsid w:val="007261FD"/>
    <w:rsid w:val="007377B0"/>
    <w:rsid w:val="007416B6"/>
    <w:rsid w:val="00746F48"/>
    <w:rsid w:val="007536A2"/>
    <w:rsid w:val="0075404D"/>
    <w:rsid w:val="00756F62"/>
    <w:rsid w:val="0076182A"/>
    <w:rsid w:val="00763DB5"/>
    <w:rsid w:val="00766B8A"/>
    <w:rsid w:val="00767B7E"/>
    <w:rsid w:val="00773CBC"/>
    <w:rsid w:val="00773D5D"/>
    <w:rsid w:val="007770C3"/>
    <w:rsid w:val="00784D24"/>
    <w:rsid w:val="00785FBA"/>
    <w:rsid w:val="00786E4A"/>
    <w:rsid w:val="007875EB"/>
    <w:rsid w:val="0079229C"/>
    <w:rsid w:val="0079426B"/>
    <w:rsid w:val="007A1561"/>
    <w:rsid w:val="007A46B4"/>
    <w:rsid w:val="007A5D33"/>
    <w:rsid w:val="007B0A9F"/>
    <w:rsid w:val="007B4C24"/>
    <w:rsid w:val="007C3BC8"/>
    <w:rsid w:val="007C788C"/>
    <w:rsid w:val="007D312A"/>
    <w:rsid w:val="007D3F19"/>
    <w:rsid w:val="007D46B1"/>
    <w:rsid w:val="007E23B0"/>
    <w:rsid w:val="007E598E"/>
    <w:rsid w:val="007F1991"/>
    <w:rsid w:val="007F2C2F"/>
    <w:rsid w:val="007F3992"/>
    <w:rsid w:val="007F5368"/>
    <w:rsid w:val="007F55FC"/>
    <w:rsid w:val="007F5665"/>
    <w:rsid w:val="007F5848"/>
    <w:rsid w:val="00800112"/>
    <w:rsid w:val="00817E46"/>
    <w:rsid w:val="008213AE"/>
    <w:rsid w:val="008253BB"/>
    <w:rsid w:val="00830B9F"/>
    <w:rsid w:val="00832ABC"/>
    <w:rsid w:val="00832E92"/>
    <w:rsid w:val="00834EB4"/>
    <w:rsid w:val="0083706E"/>
    <w:rsid w:val="008423A5"/>
    <w:rsid w:val="008430B8"/>
    <w:rsid w:val="00850625"/>
    <w:rsid w:val="00850E2C"/>
    <w:rsid w:val="00853718"/>
    <w:rsid w:val="00855221"/>
    <w:rsid w:val="008558AD"/>
    <w:rsid w:val="00856108"/>
    <w:rsid w:val="008576B0"/>
    <w:rsid w:val="00860645"/>
    <w:rsid w:val="008632AB"/>
    <w:rsid w:val="00871F71"/>
    <w:rsid w:val="00873F7E"/>
    <w:rsid w:val="00884C3C"/>
    <w:rsid w:val="00885AF4"/>
    <w:rsid w:val="00890067"/>
    <w:rsid w:val="008919CD"/>
    <w:rsid w:val="008925D1"/>
    <w:rsid w:val="008939CD"/>
    <w:rsid w:val="008A31FE"/>
    <w:rsid w:val="008A68EE"/>
    <w:rsid w:val="008B768C"/>
    <w:rsid w:val="008C47D2"/>
    <w:rsid w:val="008C4DB1"/>
    <w:rsid w:val="008C4EAF"/>
    <w:rsid w:val="008C5176"/>
    <w:rsid w:val="008C7FD0"/>
    <w:rsid w:val="008D3AF6"/>
    <w:rsid w:val="008E1DE7"/>
    <w:rsid w:val="008E6285"/>
    <w:rsid w:val="008E707C"/>
    <w:rsid w:val="008F58A5"/>
    <w:rsid w:val="008F62DD"/>
    <w:rsid w:val="00900B08"/>
    <w:rsid w:val="00902155"/>
    <w:rsid w:val="00902FA3"/>
    <w:rsid w:val="00920978"/>
    <w:rsid w:val="00923564"/>
    <w:rsid w:val="0092392E"/>
    <w:rsid w:val="00930EDD"/>
    <w:rsid w:val="009315F9"/>
    <w:rsid w:val="00937CC3"/>
    <w:rsid w:val="0094387A"/>
    <w:rsid w:val="00946945"/>
    <w:rsid w:val="00951248"/>
    <w:rsid w:val="0095152F"/>
    <w:rsid w:val="00954C49"/>
    <w:rsid w:val="009617EA"/>
    <w:rsid w:val="00961AE4"/>
    <w:rsid w:val="00962E2D"/>
    <w:rsid w:val="009665D3"/>
    <w:rsid w:val="0096770A"/>
    <w:rsid w:val="0097099F"/>
    <w:rsid w:val="00971997"/>
    <w:rsid w:val="00971FFC"/>
    <w:rsid w:val="00975249"/>
    <w:rsid w:val="0098660A"/>
    <w:rsid w:val="009906AE"/>
    <w:rsid w:val="009931C3"/>
    <w:rsid w:val="00993679"/>
    <w:rsid w:val="00997E46"/>
    <w:rsid w:val="009A1599"/>
    <w:rsid w:val="009B2C43"/>
    <w:rsid w:val="009B4EAE"/>
    <w:rsid w:val="009B7573"/>
    <w:rsid w:val="009C0608"/>
    <w:rsid w:val="009C22F4"/>
    <w:rsid w:val="009C2E98"/>
    <w:rsid w:val="009C2F35"/>
    <w:rsid w:val="009D3447"/>
    <w:rsid w:val="009D4711"/>
    <w:rsid w:val="009E60FE"/>
    <w:rsid w:val="009E6277"/>
    <w:rsid w:val="009E7069"/>
    <w:rsid w:val="009F1185"/>
    <w:rsid w:val="009F18CD"/>
    <w:rsid w:val="009F2A13"/>
    <w:rsid w:val="00A02954"/>
    <w:rsid w:val="00A04EB0"/>
    <w:rsid w:val="00A11473"/>
    <w:rsid w:val="00A13CC1"/>
    <w:rsid w:val="00A16847"/>
    <w:rsid w:val="00A237D8"/>
    <w:rsid w:val="00A268C4"/>
    <w:rsid w:val="00A307CD"/>
    <w:rsid w:val="00A34314"/>
    <w:rsid w:val="00A35FC1"/>
    <w:rsid w:val="00A40A00"/>
    <w:rsid w:val="00A4142F"/>
    <w:rsid w:val="00A465AC"/>
    <w:rsid w:val="00A55F25"/>
    <w:rsid w:val="00A56DF2"/>
    <w:rsid w:val="00A60F9B"/>
    <w:rsid w:val="00A67AB5"/>
    <w:rsid w:val="00A704F6"/>
    <w:rsid w:val="00A764BF"/>
    <w:rsid w:val="00A801B7"/>
    <w:rsid w:val="00A80EA4"/>
    <w:rsid w:val="00A82459"/>
    <w:rsid w:val="00A91760"/>
    <w:rsid w:val="00A93B00"/>
    <w:rsid w:val="00A93C21"/>
    <w:rsid w:val="00A954A8"/>
    <w:rsid w:val="00A96022"/>
    <w:rsid w:val="00AA159B"/>
    <w:rsid w:val="00AA2492"/>
    <w:rsid w:val="00AA24F9"/>
    <w:rsid w:val="00AB332F"/>
    <w:rsid w:val="00AC3C6A"/>
    <w:rsid w:val="00AD0278"/>
    <w:rsid w:val="00AD5620"/>
    <w:rsid w:val="00AD7C1B"/>
    <w:rsid w:val="00AE16BA"/>
    <w:rsid w:val="00AE1EBE"/>
    <w:rsid w:val="00AF610A"/>
    <w:rsid w:val="00B02B93"/>
    <w:rsid w:val="00B03C9D"/>
    <w:rsid w:val="00B060AE"/>
    <w:rsid w:val="00B10517"/>
    <w:rsid w:val="00B1265F"/>
    <w:rsid w:val="00B14E76"/>
    <w:rsid w:val="00B161B8"/>
    <w:rsid w:val="00B16A34"/>
    <w:rsid w:val="00B16F58"/>
    <w:rsid w:val="00B2048C"/>
    <w:rsid w:val="00B22930"/>
    <w:rsid w:val="00B2421D"/>
    <w:rsid w:val="00B310B9"/>
    <w:rsid w:val="00B35F3F"/>
    <w:rsid w:val="00B36CBB"/>
    <w:rsid w:val="00B3701C"/>
    <w:rsid w:val="00B425E0"/>
    <w:rsid w:val="00B440AA"/>
    <w:rsid w:val="00B44B70"/>
    <w:rsid w:val="00B52796"/>
    <w:rsid w:val="00B53C56"/>
    <w:rsid w:val="00B717A6"/>
    <w:rsid w:val="00B742AD"/>
    <w:rsid w:val="00B77EA6"/>
    <w:rsid w:val="00B80EE4"/>
    <w:rsid w:val="00B81598"/>
    <w:rsid w:val="00B81C9E"/>
    <w:rsid w:val="00B841F1"/>
    <w:rsid w:val="00B944D6"/>
    <w:rsid w:val="00B946BC"/>
    <w:rsid w:val="00B977D8"/>
    <w:rsid w:val="00BB315F"/>
    <w:rsid w:val="00BB43FA"/>
    <w:rsid w:val="00BB4DF0"/>
    <w:rsid w:val="00BB54FE"/>
    <w:rsid w:val="00BC289F"/>
    <w:rsid w:val="00BC5361"/>
    <w:rsid w:val="00BC5460"/>
    <w:rsid w:val="00BC6B50"/>
    <w:rsid w:val="00BC7226"/>
    <w:rsid w:val="00BD0A23"/>
    <w:rsid w:val="00BD0E25"/>
    <w:rsid w:val="00BE1A5B"/>
    <w:rsid w:val="00BF376E"/>
    <w:rsid w:val="00BF554E"/>
    <w:rsid w:val="00BF5BD6"/>
    <w:rsid w:val="00C00879"/>
    <w:rsid w:val="00C03E31"/>
    <w:rsid w:val="00C04CEB"/>
    <w:rsid w:val="00C12767"/>
    <w:rsid w:val="00C210CD"/>
    <w:rsid w:val="00C2396C"/>
    <w:rsid w:val="00C262B4"/>
    <w:rsid w:val="00C27C73"/>
    <w:rsid w:val="00C31EA3"/>
    <w:rsid w:val="00C33E72"/>
    <w:rsid w:val="00C354B2"/>
    <w:rsid w:val="00C35554"/>
    <w:rsid w:val="00C403EB"/>
    <w:rsid w:val="00C416EB"/>
    <w:rsid w:val="00C42709"/>
    <w:rsid w:val="00C533CC"/>
    <w:rsid w:val="00C5751C"/>
    <w:rsid w:val="00C61BFC"/>
    <w:rsid w:val="00C62B85"/>
    <w:rsid w:val="00C65438"/>
    <w:rsid w:val="00C665CE"/>
    <w:rsid w:val="00C73946"/>
    <w:rsid w:val="00C74D41"/>
    <w:rsid w:val="00C91CBB"/>
    <w:rsid w:val="00C92B27"/>
    <w:rsid w:val="00C9556D"/>
    <w:rsid w:val="00CB2062"/>
    <w:rsid w:val="00CB2D0C"/>
    <w:rsid w:val="00CB40CE"/>
    <w:rsid w:val="00CC09B6"/>
    <w:rsid w:val="00CC151D"/>
    <w:rsid w:val="00CC3CA7"/>
    <w:rsid w:val="00CC5427"/>
    <w:rsid w:val="00CC666F"/>
    <w:rsid w:val="00CC7940"/>
    <w:rsid w:val="00CD1DEE"/>
    <w:rsid w:val="00CD1E3F"/>
    <w:rsid w:val="00CE3210"/>
    <w:rsid w:val="00CE3693"/>
    <w:rsid w:val="00CE44F6"/>
    <w:rsid w:val="00CE49DA"/>
    <w:rsid w:val="00CE7B61"/>
    <w:rsid w:val="00CF2FC2"/>
    <w:rsid w:val="00CF5C36"/>
    <w:rsid w:val="00D00095"/>
    <w:rsid w:val="00D06571"/>
    <w:rsid w:val="00D12F1C"/>
    <w:rsid w:val="00D14928"/>
    <w:rsid w:val="00D170C4"/>
    <w:rsid w:val="00D20620"/>
    <w:rsid w:val="00D210A3"/>
    <w:rsid w:val="00D23350"/>
    <w:rsid w:val="00D25BE4"/>
    <w:rsid w:val="00D26091"/>
    <w:rsid w:val="00D34E7C"/>
    <w:rsid w:val="00D35489"/>
    <w:rsid w:val="00D46BB8"/>
    <w:rsid w:val="00D51276"/>
    <w:rsid w:val="00D5145F"/>
    <w:rsid w:val="00D5520A"/>
    <w:rsid w:val="00D62B0C"/>
    <w:rsid w:val="00D63DBA"/>
    <w:rsid w:val="00D7035F"/>
    <w:rsid w:val="00D740A2"/>
    <w:rsid w:val="00D84B14"/>
    <w:rsid w:val="00D86185"/>
    <w:rsid w:val="00D87726"/>
    <w:rsid w:val="00DA65AC"/>
    <w:rsid w:val="00DB0857"/>
    <w:rsid w:val="00DB1913"/>
    <w:rsid w:val="00DC38A5"/>
    <w:rsid w:val="00DC410D"/>
    <w:rsid w:val="00DC53B2"/>
    <w:rsid w:val="00DC68CA"/>
    <w:rsid w:val="00DC7CBA"/>
    <w:rsid w:val="00DD59B2"/>
    <w:rsid w:val="00DD73B7"/>
    <w:rsid w:val="00DE47C2"/>
    <w:rsid w:val="00DE7742"/>
    <w:rsid w:val="00DF1B11"/>
    <w:rsid w:val="00DF28BC"/>
    <w:rsid w:val="00DF2FDF"/>
    <w:rsid w:val="00DF34B9"/>
    <w:rsid w:val="00E01053"/>
    <w:rsid w:val="00E017FA"/>
    <w:rsid w:val="00E03350"/>
    <w:rsid w:val="00E052F5"/>
    <w:rsid w:val="00E07ACF"/>
    <w:rsid w:val="00E13C83"/>
    <w:rsid w:val="00E227CF"/>
    <w:rsid w:val="00E23CE1"/>
    <w:rsid w:val="00E255E4"/>
    <w:rsid w:val="00E31A2C"/>
    <w:rsid w:val="00E331A1"/>
    <w:rsid w:val="00E33202"/>
    <w:rsid w:val="00E336A9"/>
    <w:rsid w:val="00E3615D"/>
    <w:rsid w:val="00E47D39"/>
    <w:rsid w:val="00E50624"/>
    <w:rsid w:val="00E5275C"/>
    <w:rsid w:val="00E543AE"/>
    <w:rsid w:val="00E56613"/>
    <w:rsid w:val="00E568DF"/>
    <w:rsid w:val="00E574ED"/>
    <w:rsid w:val="00E57892"/>
    <w:rsid w:val="00E64269"/>
    <w:rsid w:val="00E7149D"/>
    <w:rsid w:val="00E82267"/>
    <w:rsid w:val="00E91D1D"/>
    <w:rsid w:val="00E9291A"/>
    <w:rsid w:val="00E92F6B"/>
    <w:rsid w:val="00EA010F"/>
    <w:rsid w:val="00EA3B9A"/>
    <w:rsid w:val="00EB27A7"/>
    <w:rsid w:val="00EB3403"/>
    <w:rsid w:val="00EC07FF"/>
    <w:rsid w:val="00EC0DE8"/>
    <w:rsid w:val="00ED0B1A"/>
    <w:rsid w:val="00ED1B63"/>
    <w:rsid w:val="00ED265D"/>
    <w:rsid w:val="00ED3C1F"/>
    <w:rsid w:val="00ED4085"/>
    <w:rsid w:val="00ED420E"/>
    <w:rsid w:val="00EE2F57"/>
    <w:rsid w:val="00EE3612"/>
    <w:rsid w:val="00EF3623"/>
    <w:rsid w:val="00EF4C34"/>
    <w:rsid w:val="00EF5BB7"/>
    <w:rsid w:val="00EF77C6"/>
    <w:rsid w:val="00F03481"/>
    <w:rsid w:val="00F05438"/>
    <w:rsid w:val="00F076ED"/>
    <w:rsid w:val="00F1361C"/>
    <w:rsid w:val="00F160C7"/>
    <w:rsid w:val="00F27F80"/>
    <w:rsid w:val="00F36D8F"/>
    <w:rsid w:val="00F4064D"/>
    <w:rsid w:val="00F40F17"/>
    <w:rsid w:val="00F417B1"/>
    <w:rsid w:val="00F4289D"/>
    <w:rsid w:val="00F47504"/>
    <w:rsid w:val="00F47F61"/>
    <w:rsid w:val="00F51B2B"/>
    <w:rsid w:val="00F57337"/>
    <w:rsid w:val="00F602DF"/>
    <w:rsid w:val="00F63194"/>
    <w:rsid w:val="00F643F3"/>
    <w:rsid w:val="00F7081A"/>
    <w:rsid w:val="00F73D03"/>
    <w:rsid w:val="00F74FD4"/>
    <w:rsid w:val="00F761B5"/>
    <w:rsid w:val="00F80BAE"/>
    <w:rsid w:val="00F81FD9"/>
    <w:rsid w:val="00F83D6B"/>
    <w:rsid w:val="00F841AA"/>
    <w:rsid w:val="00F857D0"/>
    <w:rsid w:val="00FA0875"/>
    <w:rsid w:val="00FA23E8"/>
    <w:rsid w:val="00FA28AC"/>
    <w:rsid w:val="00FB5680"/>
    <w:rsid w:val="00FC071C"/>
    <w:rsid w:val="00FC3A7C"/>
    <w:rsid w:val="00FC3DA8"/>
    <w:rsid w:val="00FC5B73"/>
    <w:rsid w:val="00FD1001"/>
    <w:rsid w:val="00FD3CC1"/>
    <w:rsid w:val="00FD64A3"/>
    <w:rsid w:val="00FE61A1"/>
    <w:rsid w:val="00FF1E02"/>
    <w:rsid w:val="00FF30B4"/>
    <w:rsid w:val="00FF3D3D"/>
    <w:rsid w:val="050A014F"/>
    <w:rsid w:val="077C10C1"/>
    <w:rsid w:val="08A57436"/>
    <w:rsid w:val="08AA13F0"/>
    <w:rsid w:val="09741041"/>
    <w:rsid w:val="09BC2676"/>
    <w:rsid w:val="0D953672"/>
    <w:rsid w:val="0E9A6C78"/>
    <w:rsid w:val="0F262E5F"/>
    <w:rsid w:val="10C055FF"/>
    <w:rsid w:val="113C7159"/>
    <w:rsid w:val="11F51E22"/>
    <w:rsid w:val="133C4DB2"/>
    <w:rsid w:val="138A7A67"/>
    <w:rsid w:val="14F6215A"/>
    <w:rsid w:val="15A97D57"/>
    <w:rsid w:val="16BB723D"/>
    <w:rsid w:val="1A4D2D3C"/>
    <w:rsid w:val="1A6127DF"/>
    <w:rsid w:val="1C647C40"/>
    <w:rsid w:val="1DFF0F4D"/>
    <w:rsid w:val="1F750F9B"/>
    <w:rsid w:val="1F9F310D"/>
    <w:rsid w:val="232E2226"/>
    <w:rsid w:val="23BDDD1A"/>
    <w:rsid w:val="240371BF"/>
    <w:rsid w:val="2806479F"/>
    <w:rsid w:val="29FD04D3"/>
    <w:rsid w:val="2ACC52AF"/>
    <w:rsid w:val="2BD576CA"/>
    <w:rsid w:val="2C7D29E5"/>
    <w:rsid w:val="30BB40F0"/>
    <w:rsid w:val="319F7F4E"/>
    <w:rsid w:val="32B51489"/>
    <w:rsid w:val="34457224"/>
    <w:rsid w:val="366B11AB"/>
    <w:rsid w:val="37FAB34F"/>
    <w:rsid w:val="394824A2"/>
    <w:rsid w:val="3A2666FF"/>
    <w:rsid w:val="3B516D34"/>
    <w:rsid w:val="3D7A3D6C"/>
    <w:rsid w:val="3DED7C1F"/>
    <w:rsid w:val="3DFFC0AE"/>
    <w:rsid w:val="3E913515"/>
    <w:rsid w:val="3FBF51D4"/>
    <w:rsid w:val="4414757D"/>
    <w:rsid w:val="46CA763F"/>
    <w:rsid w:val="4BD3508E"/>
    <w:rsid w:val="4CE479C5"/>
    <w:rsid w:val="4D177C82"/>
    <w:rsid w:val="4DFF250B"/>
    <w:rsid w:val="5121793F"/>
    <w:rsid w:val="530D0B33"/>
    <w:rsid w:val="53E6225C"/>
    <w:rsid w:val="54E749D7"/>
    <w:rsid w:val="54F00043"/>
    <w:rsid w:val="55832E48"/>
    <w:rsid w:val="57EE0B18"/>
    <w:rsid w:val="5C6C34A7"/>
    <w:rsid w:val="63881F0B"/>
    <w:rsid w:val="6912564F"/>
    <w:rsid w:val="69B61144"/>
    <w:rsid w:val="6A075747"/>
    <w:rsid w:val="6AAA2048"/>
    <w:rsid w:val="6B5D4EF5"/>
    <w:rsid w:val="6C664F99"/>
    <w:rsid w:val="6DDE0AD2"/>
    <w:rsid w:val="6E334DBA"/>
    <w:rsid w:val="6EB26E11"/>
    <w:rsid w:val="6F95D33A"/>
    <w:rsid w:val="711836E0"/>
    <w:rsid w:val="72837EFB"/>
    <w:rsid w:val="73EB3243"/>
    <w:rsid w:val="74353135"/>
    <w:rsid w:val="74763164"/>
    <w:rsid w:val="771E1BE0"/>
    <w:rsid w:val="77AC0762"/>
    <w:rsid w:val="77B889FF"/>
    <w:rsid w:val="7808455D"/>
    <w:rsid w:val="78732B46"/>
    <w:rsid w:val="79007B18"/>
    <w:rsid w:val="7A0F6CDE"/>
    <w:rsid w:val="7B7F1189"/>
    <w:rsid w:val="7D9F0382"/>
    <w:rsid w:val="7DA66C14"/>
    <w:rsid w:val="8D7FEEDE"/>
    <w:rsid w:val="BBEF4C5B"/>
    <w:rsid w:val="DDF67035"/>
    <w:rsid w:val="F53D6B6A"/>
    <w:rsid w:val="F63F30D2"/>
    <w:rsid w:val="FF6F9F5A"/>
    <w:rsid w:val="FF8E19AD"/>
    <w:rsid w:val="FFBB1D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30"/>
    <w:qFormat/>
    <w:uiPriority w:val="0"/>
    <w:rPr>
      <w:rFonts w:ascii="宋体" w:hAnsi="Courier New"/>
    </w:r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character" w:customStyle="1" w:styleId="30">
    <w:name w:val="纯文本 字符"/>
    <w:basedOn w:val="14"/>
    <w:link w:val="7"/>
    <w:qFormat/>
    <w:uiPriority w:val="0"/>
    <w:rPr>
      <w:rFonts w:ascii="宋体" w:hAnsi="Courier New"/>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c:v>
                </c:pt>
              </c:strCache>
            </c:strRef>
          </c:tx>
          <c:invertIfNegative val="false"/>
          <c:dLbls>
            <c:delete val="true"/>
          </c:dLbls>
          <c:cat>
            <c:strRef>
              <c:f>Sheet1!$A$2:$A$3</c:f>
              <c:strCache>
                <c:ptCount val="2"/>
                <c:pt idx="0">
                  <c:v>收入总计</c:v>
                </c:pt>
                <c:pt idx="1">
                  <c:v>支出总计</c:v>
                </c:pt>
              </c:strCache>
            </c:strRef>
          </c:cat>
          <c:val>
            <c:numRef>
              <c:f>Sheet1!$B$2:$B$3</c:f>
              <c:numCache>
                <c:formatCode>General</c:formatCode>
                <c:ptCount val="2"/>
                <c:pt idx="0">
                  <c:v>717.43</c:v>
                </c:pt>
                <c:pt idx="1">
                  <c:v>729.55</c:v>
                </c:pt>
              </c:numCache>
            </c:numRef>
          </c:val>
        </c:ser>
        <c:ser>
          <c:idx val="1"/>
          <c:order val="1"/>
          <c:tx>
            <c:strRef>
              <c:f>Sheet1!$C$1</c:f>
              <c:strCache>
                <c:ptCount val="1"/>
                <c:pt idx="0">
                  <c:v>2021</c:v>
                </c:pt>
              </c:strCache>
            </c:strRef>
          </c:tx>
          <c:invertIfNegative val="false"/>
          <c:dLbls>
            <c:delete val="true"/>
          </c:dLbls>
          <c:cat>
            <c:strRef>
              <c:f>Sheet1!$A$2:$A$3</c:f>
              <c:strCache>
                <c:ptCount val="2"/>
                <c:pt idx="0">
                  <c:v>收入总计</c:v>
                </c:pt>
                <c:pt idx="1">
                  <c:v>支出总计</c:v>
                </c:pt>
              </c:strCache>
            </c:strRef>
          </c:cat>
          <c:val>
            <c:numRef>
              <c:f>Sheet1!$C$2:$C$3</c:f>
              <c:numCache>
                <c:formatCode>General</c:formatCode>
                <c:ptCount val="2"/>
                <c:pt idx="0">
                  <c:v>818.47</c:v>
                </c:pt>
                <c:pt idx="1">
                  <c:v>827.24</c:v>
                </c:pt>
              </c:numCache>
            </c:numRef>
          </c:val>
        </c:ser>
        <c:dLbls>
          <c:showLegendKey val="false"/>
          <c:showVal val="false"/>
          <c:showCatName val="false"/>
          <c:showSerName val="false"/>
          <c:showPercent val="false"/>
          <c:showBubbleSize val="false"/>
        </c:dLbls>
        <c:gapWidth val="150"/>
        <c:axId val="118195328"/>
        <c:axId val="118196864"/>
      </c:barChart>
      <c:catAx>
        <c:axId val="118195328"/>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18196864"/>
        <c:crosses val="autoZero"/>
        <c:auto val="true"/>
        <c:lblAlgn val="ctr"/>
        <c:lblOffset val="100"/>
        <c:noMultiLvlLbl val="false"/>
      </c:catAx>
      <c:valAx>
        <c:axId val="118196864"/>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18195328"/>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21160485424294"/>
          <c:y val="0.144664041994751"/>
          <c:w val="0.446087576783773"/>
          <c:h val="0.845335958005249"/>
        </c:manualLayout>
      </c:layout>
      <c:pieChart>
        <c:varyColors val="true"/>
        <c:ser>
          <c:idx val="0"/>
          <c:order val="0"/>
          <c:tx>
            <c:strRef>
              <c:f>Sheet1!$A$2</c:f>
              <c:strCache>
                <c:ptCount val="1"/>
                <c:pt idx="0">
                  <c:v>收入</c:v>
                </c:pt>
              </c:strCache>
            </c:strRef>
          </c:tx>
          <c:spPr>
            <a:solidFill>
              <a:srgbClr val="9999FF"/>
            </a:solidFill>
            <a:ln w="12699">
              <a:solidFill>
                <a:srgbClr val="000000"/>
              </a:solidFill>
              <a:prstDash val="solid"/>
            </a:ln>
          </c:spPr>
          <c:explosion val="84"/>
          <c:dPt>
            <c:idx val="0"/>
            <c:bubble3D val="false"/>
            <c:spPr>
              <a:solidFill>
                <a:srgbClr val="9999FF"/>
              </a:solidFill>
              <a:ln w="12699">
                <a:solidFill>
                  <a:srgbClr val="000000"/>
                </a:solidFill>
                <a:prstDash val="solid"/>
              </a:ln>
            </c:spPr>
          </c:dPt>
          <c:dPt>
            <c:idx val="1"/>
            <c:bubble3D val="false"/>
            <c:spPr>
              <a:solidFill>
                <a:srgbClr val="993366"/>
              </a:solidFill>
              <a:ln w="12699">
                <a:solidFill>
                  <a:srgbClr val="000000"/>
                </a:solidFill>
                <a:prstDash val="solid"/>
              </a:ln>
            </c:spPr>
          </c:dPt>
          <c:dLbls>
            <c:delete val="true"/>
          </c:dLbls>
          <c:cat>
            <c:strRef>
              <c:f>Sheet1!$B$1:$C$1</c:f>
              <c:strCache>
                <c:ptCount val="2"/>
                <c:pt idx="0">
                  <c:v>财政拨款收入</c:v>
                </c:pt>
                <c:pt idx="1">
                  <c:v>其他收入</c:v>
                </c:pt>
              </c:strCache>
            </c:strRef>
          </c:cat>
          <c:val>
            <c:numRef>
              <c:f>Sheet1!$B$2:$C$2</c:f>
              <c:numCache>
                <c:formatCode>General</c:formatCode>
                <c:ptCount val="2"/>
                <c:pt idx="0">
                  <c:v>717.43</c:v>
                </c:pt>
                <c:pt idx="1">
                  <c:v>0</c:v>
                </c:pt>
              </c:numCache>
            </c:numRef>
          </c:val>
        </c:ser>
        <c:dLbls>
          <c:showLegendKey val="false"/>
          <c:showVal val="false"/>
          <c:showCatName val="false"/>
          <c:showSerName val="false"/>
          <c:showPercent val="false"/>
          <c:showBubbleSize val="false"/>
          <c:showLeaderLines val="true"/>
        </c:dLbls>
        <c:firstSliceAng val="0"/>
      </c:pieChart>
      <c:spPr>
        <a:solidFill>
          <a:srgbClr val="C0C0C0"/>
        </a:solidFill>
        <a:ln w="12699">
          <a:solidFill>
            <a:srgbClr val="808080"/>
          </a:solidFill>
          <a:prstDash val="solid"/>
        </a:ln>
      </c:spPr>
    </c:plotArea>
    <c:legend>
      <c:legendPos val="r"/>
      <c:layout>
        <c:manualLayout>
          <c:xMode val="edge"/>
          <c:yMode val="edge"/>
          <c:x val="0.670422535211268"/>
          <c:y val="0.413793103448276"/>
          <c:w val="0.31830985915493"/>
          <c:h val="0.176724137931034"/>
        </c:manualLayout>
      </c:layout>
      <c:overlay val="false"/>
      <c:spPr>
        <a:noFill/>
        <a:ln w="3175">
          <a:solidFill>
            <a:srgbClr val="000000"/>
          </a:solidFill>
          <a:prstDash val="solid"/>
        </a:ln>
      </c:spPr>
      <c:txPr>
        <a:bodyPr rot="0" spcFirstLastPara="0" vertOverflow="ellipsis" vert="horz" wrap="square" anchor="ctr" anchorCtr="true"/>
        <a:lstStyle/>
        <a:p>
          <a:pPr>
            <a:defRPr lang="zh-CN" sz="1055" b="0" i="0" u="none" strike="noStrike" kern="1200" baseline="0">
              <a:solidFill>
                <a:srgbClr val="000000"/>
              </a:solidFill>
              <a:latin typeface="宋体" charset="-122"/>
              <a:ea typeface="宋体" charset="-122"/>
              <a:cs typeface="宋体" charset="-122"/>
            </a:defRPr>
          </a:pPr>
        </a:p>
      </c:txPr>
    </c:legend>
    <c:plotVisOnly val="true"/>
    <c:dispBlanksAs val="zero"/>
    <c:showDLblsOverMax val="false"/>
  </c:chart>
  <c:spPr>
    <a:noFill/>
    <a:ln w="9525" cap="flat" cmpd="sng" algn="ctr">
      <a:noFill/>
      <a:prstDash val="solid"/>
      <a:round/>
    </a:ln>
  </c:spPr>
  <c:txPr>
    <a:bodyPr/>
    <a:lstStyle/>
    <a:p>
      <a:pPr>
        <a:defRPr lang="zh-CN" sz="115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25326235629"/>
          <c:y val="0.15210028207055"/>
          <c:w val="0.463551957413774"/>
          <c:h val="0.682825497435227"/>
        </c:manualLayout>
      </c:layout>
      <c:pieChart>
        <c:varyColors val="true"/>
        <c:ser>
          <c:idx val="0"/>
          <c:order val="0"/>
          <c:tx>
            <c:strRef>
              <c:f>Sheet1!$A$2</c:f>
              <c:strCache>
                <c:ptCount val="1"/>
                <c:pt idx="0">
                  <c:v>支出</c:v>
                </c:pt>
              </c:strCache>
            </c:strRef>
          </c:tx>
          <c:spPr>
            <a:solidFill>
              <a:srgbClr val="9999FF"/>
            </a:solidFill>
            <a:ln w="12700">
              <a:solidFill>
                <a:srgbClr val="000000"/>
              </a:solidFill>
              <a:prstDash val="solid"/>
            </a:ln>
          </c:spPr>
          <c:explosion val="0"/>
          <c:dPt>
            <c:idx val="0"/>
            <c:bubble3D val="false"/>
            <c:spPr>
              <a:solidFill>
                <a:srgbClr val="FF8080"/>
              </a:solidFill>
              <a:ln w="12700">
                <a:solidFill>
                  <a:srgbClr val="000000"/>
                </a:solidFill>
                <a:prstDash val="solid"/>
              </a:ln>
            </c:spPr>
          </c:dPt>
          <c:dPt>
            <c:idx val="1"/>
            <c:bubble3D val="false"/>
            <c:spPr>
              <a:solidFill>
                <a:srgbClr val="FFFF00"/>
              </a:solidFill>
              <a:ln w="12700">
                <a:solidFill>
                  <a:srgbClr val="000000"/>
                </a:solidFill>
                <a:prstDash val="solid"/>
              </a:ln>
            </c:spPr>
          </c:dPt>
          <c:dLbls>
            <c:delete val="true"/>
          </c:dLbls>
          <c:cat>
            <c:strRef>
              <c:f>Sheet1!$B$1:$C$1</c:f>
              <c:strCache>
                <c:ptCount val="2"/>
                <c:pt idx="0">
                  <c:v>基本支出</c:v>
                </c:pt>
                <c:pt idx="1">
                  <c:v>项目支出</c:v>
                </c:pt>
              </c:strCache>
            </c:strRef>
          </c:cat>
          <c:val>
            <c:numRef>
              <c:f>Sheet1!$B$2:$C$2</c:f>
              <c:numCache>
                <c:formatCode>General</c:formatCode>
                <c:ptCount val="2"/>
                <c:pt idx="0">
                  <c:v>736.45</c:v>
                </c:pt>
                <c:pt idx="1">
                  <c:v>90.79</c:v>
                </c:pt>
              </c:numCache>
            </c:numRef>
          </c:val>
        </c:ser>
        <c:dLbls>
          <c:showLegendKey val="false"/>
          <c:showVal val="false"/>
          <c:showCatName val="false"/>
          <c:showSerName val="false"/>
          <c:showPercent val="false"/>
          <c:showBubbleSize val="false"/>
          <c:showLeaderLines val="true"/>
        </c:dLbls>
        <c:firstSliceAng val="0"/>
      </c:pieChart>
      <c:spPr>
        <a:solidFill>
          <a:srgbClr val="C0C0C0"/>
        </a:solidFill>
        <a:ln w="12700">
          <a:solidFill>
            <a:srgbClr val="808080"/>
          </a:solidFill>
          <a:prstDash val="solid"/>
        </a:ln>
      </c:spPr>
    </c:plotArea>
    <c:legend>
      <c:legendPos val="r"/>
      <c:layout>
        <c:manualLayout>
          <c:xMode val="edge"/>
          <c:yMode val="edge"/>
          <c:x val="0.713164891511531"/>
          <c:y val="0.364598755864178"/>
          <c:w val="0.244604316546763"/>
          <c:h val="0.192307692307692"/>
        </c:manualLayout>
      </c:layout>
      <c:overlay val="false"/>
      <c:spPr>
        <a:noFill/>
        <a:ln w="3175">
          <a:solidFill>
            <a:srgbClr val="000000"/>
          </a:solidFill>
          <a:prstDash val="solid"/>
        </a:ln>
      </c:spPr>
      <c:txPr>
        <a:bodyPr rot="0" spcFirstLastPara="0" vertOverflow="ellipsis" vert="horz" wrap="square" anchor="ctr" anchorCtr="true"/>
        <a:lstStyle/>
        <a:p>
          <a:pPr>
            <a:defRPr lang="zh-CN" sz="825" b="0" i="0" u="none" strike="noStrike" kern="1200" baseline="0">
              <a:solidFill>
                <a:srgbClr val="000000"/>
              </a:solidFill>
              <a:latin typeface="宋体" charset="-122"/>
              <a:ea typeface="宋体" charset="-122"/>
              <a:cs typeface="宋体" charset="-122"/>
            </a:defRPr>
          </a:pPr>
        </a:p>
      </c:txPr>
    </c:legend>
    <c:plotVisOnly val="true"/>
    <c:dispBlanksAs val="zero"/>
    <c:showDLblsOverMax val="false"/>
  </c:chart>
  <c:spPr>
    <a:noFill/>
    <a:ln w="9525" cap="flat" cmpd="sng" algn="ctr">
      <a:noFill/>
      <a:prstDash val="solid"/>
      <a:round/>
    </a:ln>
  </c:spPr>
  <c:txPr>
    <a:bodyPr/>
    <a:lstStyle/>
    <a:p>
      <a:pPr>
        <a:defRPr lang="zh-CN" sz="90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47590361445783"/>
          <c:y val="0.0652173913043478"/>
          <c:w val="0.647590361445783"/>
          <c:h val="0.710144927536232"/>
        </c:manualLayout>
      </c:layout>
      <c:barChart>
        <c:barDir val="col"/>
        <c:grouping val="clustered"/>
        <c:varyColors val="false"/>
        <c:ser>
          <c:idx val="0"/>
          <c:order val="0"/>
          <c:tx>
            <c:strRef>
              <c:f>Sheet1!$A$2</c:f>
              <c:strCache>
                <c:ptCount val="1"/>
                <c:pt idx="0">
                  <c:v>收入</c:v>
                </c:pt>
              </c:strCache>
            </c:strRef>
          </c:tx>
          <c:spPr>
            <a:solidFill>
              <a:srgbClr val="9999FF"/>
            </a:solidFill>
            <a:ln w="12699">
              <a:solidFill>
                <a:srgbClr val="000000"/>
              </a:solidFill>
              <a:prstDash val="solid"/>
            </a:ln>
          </c:spPr>
          <c:invertIfNegative val="false"/>
          <c:dPt>
            <c:idx val="0"/>
            <c:invertIfNegative val="false"/>
            <c:bubble3D val="false"/>
            <c:spPr>
              <a:solidFill>
                <a:srgbClr val="FFCC99"/>
              </a:solidFill>
              <a:ln w="12699">
                <a:solidFill>
                  <a:srgbClr val="000000"/>
                </a:solidFill>
                <a:prstDash val="solid"/>
              </a:ln>
            </c:spPr>
          </c:dPt>
          <c:dPt>
            <c:idx val="1"/>
            <c:invertIfNegative val="false"/>
            <c:bubble3D val="false"/>
            <c:spPr>
              <a:solidFill>
                <a:srgbClr val="339966"/>
              </a:solidFill>
              <a:ln w="12699">
                <a:solidFill>
                  <a:srgbClr val="000000"/>
                </a:solidFill>
                <a:prstDash val="solid"/>
              </a:ln>
            </c:spPr>
          </c:dPt>
          <c:dLbls>
            <c:delete val="true"/>
          </c:dLbls>
          <c:cat>
            <c:strRef>
              <c:f>Sheet1!$B$1:$C$1</c:f>
              <c:strCache>
                <c:ptCount val="2"/>
                <c:pt idx="0">
                  <c:v>2020年</c:v>
                </c:pt>
                <c:pt idx="1">
                  <c:v>2021年</c:v>
                </c:pt>
              </c:strCache>
            </c:strRef>
          </c:cat>
          <c:val>
            <c:numRef>
              <c:f>Sheet1!$B$2:$C$2</c:f>
              <c:numCache>
                <c:formatCode>#,##0.00</c:formatCode>
                <c:ptCount val="2"/>
                <c:pt idx="0">
                  <c:v>717.43</c:v>
                </c:pt>
                <c:pt idx="1">
                  <c:v>818.47</c:v>
                </c:pt>
              </c:numCache>
            </c:numRef>
          </c:val>
        </c:ser>
        <c:dLbls>
          <c:showLegendKey val="false"/>
          <c:showVal val="false"/>
          <c:showCatName val="false"/>
          <c:showSerName val="false"/>
          <c:showPercent val="false"/>
          <c:showBubbleSize val="false"/>
        </c:dLbls>
        <c:gapWidth val="150"/>
        <c:axId val="130042880"/>
        <c:axId val="145140352"/>
      </c:barChart>
      <c:catAx>
        <c:axId val="130042880"/>
        <c:scaling>
          <c:orientation val="minMax"/>
        </c:scaling>
        <c:delete val="false"/>
        <c:axPos val="b"/>
        <c:numFmt formatCode="General" sourceLinked="true"/>
        <c:majorTickMark val="in"/>
        <c:minorTickMark val="none"/>
        <c:tickLblPos val="low"/>
        <c:spPr>
          <a:ln w="3175" cap="flat" cmpd="sng" algn="ctr">
            <a:solidFill>
              <a:srgbClr val="000000"/>
            </a:solidFill>
            <a:prstDash val="solid"/>
            <a:round/>
          </a:ln>
        </c:spPr>
        <c:txPr>
          <a:bodyPr rot="0" spcFirstLastPara="0" vertOverflow="ellipsis" vert="horz" wrap="square" anchor="ctr" anchorCtr="true"/>
          <a:lstStyle/>
          <a:p>
            <a:pPr>
              <a:defRPr lang="zh-CN" sz="800" b="0" i="0" u="none" strike="noStrike" kern="1200" baseline="0">
                <a:solidFill>
                  <a:srgbClr val="000000"/>
                </a:solidFill>
                <a:latin typeface="宋体" charset="-122"/>
                <a:ea typeface="宋体" charset="-122"/>
                <a:cs typeface="宋体" charset="-122"/>
              </a:defRPr>
            </a:pPr>
          </a:p>
        </c:txPr>
        <c:crossAx val="145140352"/>
        <c:crosses val="autoZero"/>
        <c:auto val="true"/>
        <c:lblAlgn val="ctr"/>
        <c:lblOffset val="100"/>
        <c:tickLblSkip val="1"/>
        <c:noMultiLvlLbl val="false"/>
      </c:catAx>
      <c:valAx>
        <c:axId val="145140352"/>
        <c:scaling>
          <c:orientation val="minMax"/>
        </c:scaling>
        <c:delete val="false"/>
        <c:axPos val="l"/>
        <c:numFmt formatCode="#,##0.00" sourceLinked="true"/>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800" b="0" i="0" u="none" strike="noStrike" kern="1200" baseline="0">
                <a:solidFill>
                  <a:srgbClr val="000000"/>
                </a:solidFill>
                <a:latin typeface="宋体" charset="-122"/>
                <a:ea typeface="宋体" charset="-122"/>
                <a:cs typeface="宋体" charset="-122"/>
              </a:defRPr>
            </a:pPr>
          </a:p>
        </c:txPr>
        <c:crossAx val="13004288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28313253012048"/>
          <c:y val="0.384057971014493"/>
          <c:w val="0.159638554216867"/>
          <c:h val="0.239130434782609"/>
        </c:manualLayout>
      </c:layout>
      <c:overlay val="false"/>
      <c:spPr>
        <a:noFill/>
        <a:ln w="3175">
          <a:solidFill>
            <a:srgbClr val="000000"/>
          </a:solidFill>
          <a:prstDash val="solid"/>
        </a:ln>
      </c:spPr>
      <c:txPr>
        <a:bodyPr rot="0" spcFirstLastPara="0" vertOverflow="ellipsis" vert="horz" wrap="square" anchor="ctr" anchorCtr="true"/>
        <a:lstStyle/>
        <a:p>
          <a:pPr>
            <a:defRPr lang="zh-CN" sz="735" b="0" i="0" u="none" strike="noStrike" kern="1200" baseline="0">
              <a:solidFill>
                <a:srgbClr val="000000"/>
              </a:solidFill>
              <a:latin typeface="宋体" charset="-122"/>
              <a:ea typeface="宋体" charset="-122"/>
              <a:cs typeface="宋体" charset="-122"/>
            </a:defRPr>
          </a:pPr>
        </a:p>
      </c:txPr>
    </c:legend>
    <c:plotVisOnly val="true"/>
    <c:dispBlanksAs val="gap"/>
    <c:showDLblsOverMax val="false"/>
  </c:chart>
  <c:spPr>
    <a:noFill/>
    <a:ln w="9525" cap="flat" cmpd="sng" algn="ctr">
      <a:noFill/>
      <a:prstDash val="solid"/>
      <a:round/>
    </a:ln>
  </c:spPr>
  <c:txPr>
    <a:bodyPr/>
    <a:lstStyle/>
    <a:p>
      <a:pPr>
        <a:defRPr lang="zh-CN" sz="80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24236817336608"/>
          <c:y val="0.101253458182592"/>
          <c:w val="0.647590361445783"/>
          <c:h val="0.710144927536232"/>
        </c:manualLayout>
      </c:layout>
      <c:barChart>
        <c:barDir val="col"/>
        <c:grouping val="clustered"/>
        <c:varyColors val="false"/>
        <c:ser>
          <c:idx val="0"/>
          <c:order val="0"/>
          <c:tx>
            <c:strRef>
              <c:f>Sheet1!$A$2</c:f>
              <c:strCache>
                <c:ptCount val="1"/>
                <c:pt idx="0">
                  <c:v>支出</c:v>
                </c:pt>
              </c:strCache>
            </c:strRef>
          </c:tx>
          <c:spPr>
            <a:solidFill>
              <a:srgbClr val="9999FF"/>
            </a:solidFill>
            <a:ln w="12699">
              <a:solidFill>
                <a:srgbClr val="000000"/>
              </a:solidFill>
              <a:prstDash val="solid"/>
            </a:ln>
          </c:spPr>
          <c:invertIfNegative val="false"/>
          <c:dPt>
            <c:idx val="0"/>
            <c:invertIfNegative val="false"/>
            <c:bubble3D val="false"/>
            <c:spPr>
              <a:solidFill>
                <a:srgbClr val="FFCC99"/>
              </a:solidFill>
              <a:ln w="12699">
                <a:solidFill>
                  <a:srgbClr val="000000"/>
                </a:solidFill>
                <a:prstDash val="solid"/>
              </a:ln>
            </c:spPr>
          </c:dPt>
          <c:dPt>
            <c:idx val="1"/>
            <c:invertIfNegative val="false"/>
            <c:bubble3D val="false"/>
            <c:spPr>
              <a:solidFill>
                <a:srgbClr val="339966"/>
              </a:solidFill>
              <a:ln w="12699">
                <a:solidFill>
                  <a:srgbClr val="000000"/>
                </a:solidFill>
                <a:prstDash val="solid"/>
              </a:ln>
            </c:spPr>
          </c:dPt>
          <c:dLbls>
            <c:delete val="true"/>
          </c:dLbls>
          <c:cat>
            <c:strRef>
              <c:f>Sheet1!$B$1:$C$1</c:f>
              <c:strCache>
                <c:ptCount val="2"/>
                <c:pt idx="0">
                  <c:v>2020年</c:v>
                </c:pt>
                <c:pt idx="1">
                  <c:v>2021年</c:v>
                </c:pt>
              </c:strCache>
            </c:strRef>
          </c:cat>
          <c:val>
            <c:numRef>
              <c:f>Sheet1!$B$2:$C$2</c:f>
              <c:numCache>
                <c:formatCode>#,##0.00</c:formatCode>
                <c:ptCount val="2"/>
                <c:pt idx="0">
                  <c:v>729.55</c:v>
                </c:pt>
                <c:pt idx="1">
                  <c:v>818.47</c:v>
                </c:pt>
              </c:numCache>
            </c:numRef>
          </c:val>
        </c:ser>
        <c:dLbls>
          <c:showLegendKey val="false"/>
          <c:showVal val="false"/>
          <c:showCatName val="false"/>
          <c:showSerName val="false"/>
          <c:showPercent val="false"/>
          <c:showBubbleSize val="false"/>
        </c:dLbls>
        <c:gapWidth val="150"/>
        <c:axId val="281116032"/>
        <c:axId val="281139456"/>
      </c:barChart>
      <c:catAx>
        <c:axId val="281116032"/>
        <c:scaling>
          <c:orientation val="minMax"/>
        </c:scaling>
        <c:delete val="false"/>
        <c:axPos val="b"/>
        <c:numFmt formatCode="General" sourceLinked="true"/>
        <c:majorTickMark val="in"/>
        <c:minorTickMark val="none"/>
        <c:tickLblPos val="low"/>
        <c:spPr>
          <a:ln w="3175" cap="flat" cmpd="sng" algn="ctr">
            <a:solidFill>
              <a:srgbClr val="000000"/>
            </a:solidFill>
            <a:prstDash val="solid"/>
            <a:round/>
          </a:ln>
        </c:spPr>
        <c:txPr>
          <a:bodyPr rot="0" spcFirstLastPara="0" vertOverflow="ellipsis" vert="horz" wrap="square" anchor="ctr" anchorCtr="true"/>
          <a:lstStyle/>
          <a:p>
            <a:pPr>
              <a:defRPr lang="zh-CN" sz="800" b="0" i="0" u="none" strike="noStrike" kern="1200" baseline="0">
                <a:solidFill>
                  <a:srgbClr val="000000"/>
                </a:solidFill>
                <a:latin typeface="宋体" charset="-122"/>
                <a:ea typeface="宋体" charset="-122"/>
                <a:cs typeface="宋体" charset="-122"/>
              </a:defRPr>
            </a:pPr>
          </a:p>
        </c:txPr>
        <c:crossAx val="281139456"/>
        <c:crosses val="autoZero"/>
        <c:auto val="true"/>
        <c:lblAlgn val="ctr"/>
        <c:lblOffset val="100"/>
        <c:tickLblSkip val="1"/>
        <c:noMultiLvlLbl val="false"/>
      </c:catAx>
      <c:valAx>
        <c:axId val="281139456"/>
        <c:scaling>
          <c:orientation val="minMax"/>
        </c:scaling>
        <c:delete val="false"/>
        <c:axPos val="l"/>
        <c:numFmt formatCode="#,##0.00" sourceLinked="true"/>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800" b="0" i="0" u="none" strike="noStrike" kern="1200" baseline="0">
                <a:solidFill>
                  <a:srgbClr val="000000"/>
                </a:solidFill>
                <a:latin typeface="宋体" charset="-122"/>
                <a:ea typeface="宋体" charset="-122"/>
                <a:cs typeface="宋体" charset="-122"/>
              </a:defRPr>
            </a:pPr>
          </a:p>
        </c:txPr>
        <c:crossAx val="281116032"/>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28313253012048"/>
          <c:y val="0.384057971014493"/>
          <c:w val="0.159638554216867"/>
          <c:h val="0.239130434782609"/>
        </c:manualLayout>
      </c:layout>
      <c:overlay val="false"/>
      <c:spPr>
        <a:noFill/>
        <a:ln w="3175">
          <a:solidFill>
            <a:srgbClr val="000000"/>
          </a:solidFill>
          <a:prstDash val="solid"/>
        </a:ln>
      </c:spPr>
      <c:txPr>
        <a:bodyPr rot="0" spcFirstLastPara="0" vertOverflow="ellipsis" vert="horz" wrap="square" anchor="ctr" anchorCtr="true"/>
        <a:lstStyle/>
        <a:p>
          <a:pPr>
            <a:defRPr lang="zh-CN" sz="735" b="0" i="0" u="none" strike="noStrike" kern="1200" baseline="0">
              <a:solidFill>
                <a:srgbClr val="000000"/>
              </a:solidFill>
              <a:latin typeface="宋体" charset="-122"/>
              <a:ea typeface="宋体" charset="-122"/>
              <a:cs typeface="宋体" charset="-122"/>
            </a:defRPr>
          </a:pPr>
        </a:p>
      </c:txPr>
    </c:legend>
    <c:plotVisOnly val="true"/>
    <c:dispBlanksAs val="gap"/>
    <c:showDLblsOverMax val="false"/>
  </c:chart>
  <c:spPr>
    <a:noFill/>
    <a:ln w="9525" cap="flat" cmpd="sng" algn="ctr">
      <a:noFill/>
      <a:prstDash val="solid"/>
      <a:round/>
    </a:ln>
  </c:spPr>
  <c:txPr>
    <a:bodyPr/>
    <a:lstStyle/>
    <a:p>
      <a:pPr>
        <a:defRPr lang="zh-CN" sz="80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19125357557256"/>
          <c:y val="0.0326620766607073"/>
          <c:w val="0.503597122302158"/>
          <c:h val="0.763736263736264"/>
        </c:manualLayout>
      </c:layout>
      <c:barChart>
        <c:barDir val="col"/>
        <c:grouping val="clustered"/>
        <c:varyColors val="false"/>
        <c:ser>
          <c:idx val="2"/>
          <c:order val="0"/>
          <c:tx>
            <c:strRef>
              <c:f>Sheet1!$A$2</c:f>
              <c:strCache>
                <c:ptCount val="1"/>
                <c:pt idx="0">
                  <c:v>一般公共预算财政拨款支出</c:v>
                </c:pt>
              </c:strCache>
            </c:strRef>
          </c:tx>
          <c:spPr>
            <a:solidFill>
              <a:srgbClr val="FFFFCC"/>
            </a:solidFill>
            <a:ln w="12700">
              <a:solidFill>
                <a:srgbClr val="000000"/>
              </a:solidFill>
              <a:prstDash val="solid"/>
            </a:ln>
          </c:spPr>
          <c:invertIfNegative val="false"/>
          <c:dLbls>
            <c:delete val="true"/>
          </c:dLbls>
          <c:cat>
            <c:strRef>
              <c:f>Sheet1!$B$1:$C$1</c:f>
              <c:strCache>
                <c:ptCount val="2"/>
                <c:pt idx="0">
                  <c:v>2020年</c:v>
                </c:pt>
                <c:pt idx="1">
                  <c:v>2021年</c:v>
                </c:pt>
              </c:strCache>
            </c:strRef>
          </c:cat>
          <c:val>
            <c:numRef>
              <c:f>Sheet1!$B$2:$C$2</c:f>
              <c:numCache>
                <c:formatCode>General</c:formatCode>
                <c:ptCount val="2"/>
                <c:pt idx="0">
                  <c:v>717.43</c:v>
                </c:pt>
                <c:pt idx="1">
                  <c:v>818.47</c:v>
                </c:pt>
              </c:numCache>
            </c:numRef>
          </c:val>
        </c:ser>
        <c:dLbls>
          <c:showLegendKey val="false"/>
          <c:showVal val="false"/>
          <c:showCatName val="false"/>
          <c:showSerName val="false"/>
          <c:showPercent val="false"/>
          <c:showBubbleSize val="false"/>
        </c:dLbls>
        <c:gapWidth val="150"/>
        <c:axId val="344560000"/>
        <c:axId val="344562304"/>
      </c:barChart>
      <c:catAx>
        <c:axId val="344560000"/>
        <c:scaling>
          <c:orientation val="minMax"/>
        </c:scaling>
        <c:delete val="false"/>
        <c:axPos val="b"/>
        <c:numFmt formatCode="General" sourceLinked="true"/>
        <c:majorTickMark val="in"/>
        <c:minorTickMark val="none"/>
        <c:tickLblPos val="low"/>
        <c:spPr>
          <a:ln w="3175" cap="flat" cmpd="sng" algn="ctr">
            <a:solidFill>
              <a:srgbClr val="000000"/>
            </a:solid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344562304"/>
        <c:crosses val="autoZero"/>
        <c:auto val="true"/>
        <c:lblAlgn val="ctr"/>
        <c:lblOffset val="100"/>
        <c:tickLblSkip val="1"/>
        <c:noMultiLvlLbl val="false"/>
      </c:catAx>
      <c:valAx>
        <c:axId val="344562304"/>
        <c:scaling>
          <c:orientation val="minMax"/>
        </c:scaling>
        <c:delete val="false"/>
        <c:axPos val="l"/>
        <c:majorGridlines>
          <c:spPr>
            <a:ln w="3175" cap="flat" cmpd="sng" algn="ctr">
              <a:solidFill>
                <a:srgbClr val="000000"/>
              </a:solidFill>
              <a:prstDash val="solid"/>
              <a:round/>
            </a:ln>
          </c:spPr>
        </c:majorGridlines>
        <c:numFmt formatCode="General" sourceLinked="true"/>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true"/>
          <a:lstStyle/>
          <a:p>
            <a:pPr>
              <a:defRPr lang="zh-CN" sz="900" b="0" i="0" u="none" strike="noStrike" kern="1200" baseline="0">
                <a:solidFill>
                  <a:srgbClr val="000000"/>
                </a:solidFill>
                <a:latin typeface="宋体" charset="-122"/>
                <a:ea typeface="宋体" charset="-122"/>
                <a:cs typeface="宋体" charset="-122"/>
              </a:defRPr>
            </a:pPr>
          </a:p>
        </c:txPr>
        <c:crossAx val="34456000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622840230077623"/>
          <c:y val="0.414342120278443"/>
          <c:w val="0.330935251798561"/>
          <c:h val="0.175824175824176"/>
        </c:manualLayout>
      </c:layout>
      <c:overlay val="false"/>
      <c:spPr>
        <a:noFill/>
        <a:ln w="3175">
          <a:solidFill>
            <a:srgbClr val="000000"/>
          </a:solidFill>
          <a:prstDash val="solid"/>
        </a:ln>
      </c:spPr>
      <c:txPr>
        <a:bodyPr rot="0" spcFirstLastPara="0" vertOverflow="ellipsis" vert="horz" wrap="square" anchor="ctr" anchorCtr="true"/>
        <a:lstStyle/>
        <a:p>
          <a:pPr>
            <a:defRPr lang="zh-CN" sz="825" b="0" i="0" u="none" strike="noStrike" kern="1200" baseline="0">
              <a:solidFill>
                <a:srgbClr val="000000"/>
              </a:solidFill>
              <a:latin typeface="宋体" charset="-122"/>
              <a:ea typeface="宋体" charset="-122"/>
              <a:cs typeface="宋体" charset="-122"/>
            </a:defRPr>
          </a:pPr>
        </a:p>
      </c:txPr>
    </c:legend>
    <c:plotVisOnly val="true"/>
    <c:dispBlanksAs val="gap"/>
    <c:showDLblsOverMax val="false"/>
  </c:chart>
  <c:spPr>
    <a:noFill/>
    <a:ln w="9525" cap="flat" cmpd="sng" algn="ctr">
      <a:noFill/>
      <a:prstDash val="solid"/>
      <a:round/>
    </a:ln>
  </c:spPr>
  <c:txPr>
    <a:bodyPr/>
    <a:lstStyle/>
    <a:p>
      <a:pPr>
        <a:defRPr lang="zh-CN" sz="90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51525321629878"/>
          <c:y val="0.109420384951881"/>
          <c:w val="0.507194244604317"/>
          <c:h val="0.774725274725275"/>
        </c:manualLayout>
      </c:layout>
      <c:pieChart>
        <c:varyColors val="true"/>
        <c:ser>
          <c:idx val="0"/>
          <c:order val="0"/>
          <c:tx>
            <c:strRef>
              <c:f>Sheet1!$A$2</c:f>
              <c:strCache>
                <c:ptCount val="1"/>
                <c:pt idx="0">
                  <c:v>一般公共预算财政拨款</c:v>
                </c:pt>
              </c:strCache>
            </c:strRef>
          </c:tx>
          <c:spPr>
            <a:solidFill>
              <a:srgbClr val="9999FF"/>
            </a:solidFill>
            <a:ln w="12700">
              <a:solidFill>
                <a:srgbClr val="000000"/>
              </a:solidFill>
              <a:prstDash val="solid"/>
            </a:ln>
          </c:spPr>
          <c:explosion val="17"/>
          <c:dPt>
            <c:idx val="0"/>
            <c:bubble3D val="false"/>
            <c:spPr>
              <a:solidFill>
                <a:srgbClr val="9999FF"/>
              </a:solidFill>
              <a:ln w="12700">
                <a:solidFill>
                  <a:srgbClr val="000000"/>
                </a:solidFill>
                <a:prstDash val="solid"/>
              </a:ln>
            </c:spPr>
          </c:dPt>
          <c:dPt>
            <c:idx val="1"/>
            <c:bubble3D val="false"/>
            <c:spPr>
              <a:solidFill>
                <a:srgbClr val="993366"/>
              </a:solidFill>
              <a:ln w="12700">
                <a:solidFill>
                  <a:srgbClr val="000000"/>
                </a:solidFill>
                <a:prstDash val="solid"/>
              </a:ln>
            </c:spPr>
          </c:dPt>
          <c:dPt>
            <c:idx val="2"/>
            <c:bubble3D val="false"/>
            <c:spPr>
              <a:solidFill>
                <a:srgbClr val="FFFFCC"/>
              </a:solidFill>
              <a:ln w="12700">
                <a:solidFill>
                  <a:srgbClr val="000000"/>
                </a:solidFill>
                <a:prstDash val="solid"/>
              </a:ln>
            </c:spPr>
          </c:dPt>
          <c:dPt>
            <c:idx val="3"/>
            <c:bubble3D val="false"/>
            <c:spPr>
              <a:solidFill>
                <a:srgbClr val="CCFFFF"/>
              </a:solidFill>
              <a:ln w="12700">
                <a:solidFill>
                  <a:srgbClr val="000000"/>
                </a:solidFill>
                <a:prstDash val="solid"/>
              </a:ln>
            </c:spPr>
          </c:dPt>
          <c:dLbls>
            <c:delete val="true"/>
          </c:dLbls>
          <c:cat>
            <c:strRef>
              <c:f>Sheet1!$B$1:$E$1</c:f>
              <c:strCache>
                <c:ptCount val="4"/>
                <c:pt idx="0">
                  <c:v>一般公共服务支出</c:v>
                </c:pt>
                <c:pt idx="1">
                  <c:v>住房保障支出</c:v>
                </c:pt>
                <c:pt idx="2">
                  <c:v>医疗卫生和计划生育支出</c:v>
                </c:pt>
                <c:pt idx="3">
                  <c:v>社会保障和就业支出</c:v>
                </c:pt>
              </c:strCache>
            </c:strRef>
          </c:cat>
          <c:val>
            <c:numRef>
              <c:f>Sheet1!$B$2:$E$2</c:f>
              <c:numCache>
                <c:formatCode>General</c:formatCode>
                <c:ptCount val="4"/>
                <c:pt idx="0">
                  <c:v>601.61</c:v>
                </c:pt>
                <c:pt idx="1">
                  <c:v>54.59</c:v>
                </c:pt>
                <c:pt idx="2">
                  <c:v>0</c:v>
                </c:pt>
                <c:pt idx="3">
                  <c:v>162.27</c:v>
                </c:pt>
              </c:numCache>
            </c:numRef>
          </c:val>
        </c:ser>
        <c:dLbls>
          <c:showLegendKey val="false"/>
          <c:showVal val="false"/>
          <c:showCatName val="false"/>
          <c:showSerName val="false"/>
          <c:showPercent val="false"/>
          <c:showBubbleSize val="false"/>
          <c:showLeaderLines val="true"/>
        </c:dLbls>
        <c:firstSliceAng val="0"/>
      </c:pieChart>
      <c:spPr>
        <a:solidFill>
          <a:srgbClr val="C0C0C0"/>
        </a:solidFill>
        <a:ln w="12700">
          <a:solidFill>
            <a:srgbClr val="808080"/>
          </a:solidFill>
          <a:prstDash val="solid"/>
        </a:ln>
      </c:spPr>
    </c:plotArea>
    <c:legend>
      <c:legendPos val="r"/>
      <c:layout>
        <c:manualLayout>
          <c:xMode val="edge"/>
          <c:yMode val="edge"/>
          <c:x val="0.63607257539674"/>
          <c:y val="0.131474101451604"/>
          <c:w val="0.330935251798561"/>
          <c:h val="0.686813186813187"/>
        </c:manualLayout>
      </c:layout>
      <c:overlay val="false"/>
      <c:spPr>
        <a:noFill/>
        <a:ln w="3175">
          <a:solidFill>
            <a:srgbClr val="000000"/>
          </a:solidFill>
          <a:prstDash val="solid"/>
        </a:ln>
      </c:spPr>
      <c:txPr>
        <a:bodyPr rot="0" spcFirstLastPara="0" vertOverflow="ellipsis" vert="horz" wrap="square" anchor="ctr" anchorCtr="true"/>
        <a:lstStyle/>
        <a:p>
          <a:pPr>
            <a:defRPr lang="zh-CN" sz="825" b="0" i="0" u="none" strike="noStrike" kern="1200" baseline="0">
              <a:solidFill>
                <a:srgbClr val="000000"/>
              </a:solidFill>
              <a:latin typeface="宋体" charset="-122"/>
              <a:ea typeface="宋体" charset="-122"/>
              <a:cs typeface="宋体" charset="-122"/>
            </a:defRPr>
          </a:pPr>
        </a:p>
      </c:txPr>
    </c:legend>
    <c:plotVisOnly val="true"/>
    <c:dispBlanksAs val="zero"/>
    <c:showDLblsOverMax val="false"/>
  </c:chart>
  <c:spPr>
    <a:noFill/>
    <a:ln w="9525" cap="flat" cmpd="sng" algn="ctr">
      <a:noFill/>
      <a:prstDash val="solid"/>
      <a:round/>
    </a:ln>
  </c:spPr>
  <c:txPr>
    <a:bodyPr/>
    <a:lstStyle/>
    <a:p>
      <a:pPr>
        <a:defRPr lang="zh-CN" sz="900"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37940379403794"/>
          <c:y val="0.106796116504854"/>
          <c:w val="0.558265582655827"/>
          <c:h val="0.796116504854369"/>
        </c:manualLayout>
      </c:layout>
      <c:pieChart>
        <c:varyColors val="true"/>
        <c:ser>
          <c:idx val="0"/>
          <c:order val="0"/>
          <c:tx>
            <c:strRef>
              <c:f>Sheet1!$A$2</c:f>
              <c:strCache>
                <c:ptCount val="1"/>
                <c:pt idx="0">
                  <c:v>三公经费财政拨款支出</c:v>
                </c:pt>
              </c:strCache>
            </c:strRef>
          </c:tx>
          <c:spPr>
            <a:solidFill>
              <a:srgbClr val="9999FF"/>
            </a:solidFill>
            <a:ln w="9551">
              <a:solidFill>
                <a:srgbClr val="000000"/>
              </a:solidFill>
              <a:prstDash val="solid"/>
            </a:ln>
          </c:spPr>
          <c:explosion val="25"/>
          <c:dPt>
            <c:idx val="0"/>
            <c:bubble3D val="false"/>
            <c:spPr>
              <a:solidFill>
                <a:srgbClr val="9999FF"/>
              </a:solidFill>
              <a:ln w="9551">
                <a:solidFill>
                  <a:srgbClr val="000000"/>
                </a:solidFill>
                <a:prstDash val="solid"/>
              </a:ln>
            </c:spPr>
          </c:dPt>
          <c:dPt>
            <c:idx val="1"/>
            <c:bubble3D val="false"/>
            <c:spPr>
              <a:solidFill>
                <a:srgbClr val="993366"/>
              </a:solidFill>
              <a:ln w="9551">
                <a:solidFill>
                  <a:srgbClr val="000000"/>
                </a:solidFill>
                <a:prstDash val="solid"/>
              </a:ln>
            </c:spPr>
          </c:dPt>
          <c:dPt>
            <c:idx val="2"/>
            <c:bubble3D val="false"/>
            <c:spPr>
              <a:solidFill>
                <a:srgbClr val="FFFFCC"/>
              </a:solidFill>
              <a:ln w="9551">
                <a:solidFill>
                  <a:srgbClr val="000000"/>
                </a:solidFill>
                <a:prstDash val="solid"/>
              </a:ln>
            </c:spPr>
          </c:dPt>
          <c:dLbls>
            <c:delete val="true"/>
          </c:dLbls>
          <c:cat>
            <c:strRef>
              <c:f>Sheet1!$B$1:$D$1</c:f>
              <c:strCache>
                <c:ptCount val="3"/>
                <c:pt idx="0">
                  <c:v>因公出国（境）费支出</c:v>
                </c:pt>
                <c:pt idx="1">
                  <c:v>公务用车购置及运行维护费</c:v>
                </c:pt>
                <c:pt idx="2">
                  <c:v>公务接待费</c:v>
                </c:pt>
              </c:strCache>
            </c:strRef>
          </c:cat>
          <c:val>
            <c:numRef>
              <c:f>Sheet1!$B$2:$D$2</c:f>
              <c:numCache>
                <c:formatCode>General</c:formatCode>
                <c:ptCount val="3"/>
                <c:pt idx="1">
                  <c:v>0.38</c:v>
                </c:pt>
                <c:pt idx="2">
                  <c:v>0.58</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manualLayout>
          <c:xMode val="edge"/>
          <c:yMode val="edge"/>
          <c:x val="0.617337131938736"/>
          <c:y val="0.107120690146058"/>
          <c:w val="0.322493224932249"/>
          <c:h val="0.640776699029126"/>
        </c:manualLayout>
      </c:layout>
      <c:overlay val="false"/>
      <c:spPr>
        <a:noFill/>
        <a:ln w="2388">
          <a:solidFill>
            <a:srgbClr val="000000"/>
          </a:solidFill>
          <a:prstDash val="solid"/>
        </a:ln>
      </c:spPr>
      <c:txPr>
        <a:bodyPr rot="0" spcFirstLastPara="0" vertOverflow="ellipsis" vert="horz" wrap="square" anchor="ctr" anchorCtr="true"/>
        <a:lstStyle/>
        <a:p>
          <a:pPr>
            <a:defRPr lang="zh-CN" sz="380" b="0" i="0" u="none" strike="noStrike" kern="1200" baseline="0">
              <a:solidFill>
                <a:srgbClr val="000000"/>
              </a:solidFill>
              <a:latin typeface="宋体" charset="-122"/>
              <a:ea typeface="宋体" charset="-122"/>
              <a:cs typeface="宋体" charset="-122"/>
            </a:defRPr>
          </a:pPr>
        </a:p>
      </c:txPr>
    </c:legend>
    <c:plotVisOnly val="true"/>
    <c:dispBlanksAs val="zero"/>
    <c:showDLblsOverMax val="false"/>
  </c:chart>
  <c:spPr>
    <a:noFill/>
    <a:ln w="9525" cap="flat" cmpd="sng" algn="ctr">
      <a:noFill/>
      <a:prstDash val="solid"/>
      <a:round/>
    </a:ln>
  </c:spPr>
  <c:txPr>
    <a:bodyPr/>
    <a:lstStyle/>
    <a:p>
      <a:pPr>
        <a:defRPr lang="zh-CN" sz="375" b="0" i="0" u="none" strike="noStrike" baseline="0">
          <a:solidFill>
            <a:srgbClr val="000000"/>
          </a:solidFill>
          <a:latin typeface="宋体" charset="-122"/>
          <a:ea typeface="宋体" charset="-122"/>
          <a:cs typeface="宋体" charset="-122"/>
        </a:defRPr>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48</Pages>
  <Words>3260</Words>
  <Characters>18585</Characters>
  <Lines>154</Lines>
  <Paragraphs>43</Paragraphs>
  <TotalTime>116</TotalTime>
  <ScaleCrop>false</ScaleCrop>
  <LinksUpToDate>false</LinksUpToDate>
  <CharactersWithSpaces>21802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2021-09-16T17:51:00Z</dcterms:created>
  <dc:creator>张彬茜</dc:creator>
  <cp:lastModifiedBy>user</cp:lastModifiedBy>
  <cp:lastPrinted>2019-08-04T16:48:00Z</cp:lastPrinted>
  <dcterms:modified xsi:type="dcterms:W3CDTF">2023-10-18T10:06:45Z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