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outlineLvl w:val="0"/>
        <w:rPr>
          <w:rFonts w:eastAsia="方正小标宋简体"/>
          <w:sz w:val="72"/>
          <w:szCs w:val="72"/>
        </w:rPr>
      </w:pPr>
      <w:bookmarkStart w:id="0" w:name="_Toc15377425"/>
      <w:bookmarkStart w:id="1" w:name="_Toc15396597"/>
      <w:bookmarkStart w:id="2" w:name="_Toc15377193"/>
      <w:bookmarkStart w:id="3" w:name="_Toc15378441"/>
      <w:bookmarkStart w:id="4" w:name="_Toc15396475"/>
      <w:bookmarkStart w:id="5" w:name="_Toc15306267"/>
    </w:p>
    <w:p>
      <w:pPr>
        <w:spacing w:line="576" w:lineRule="exact"/>
        <w:jc w:val="center"/>
        <w:outlineLvl w:val="0"/>
        <w:rPr>
          <w:rFonts w:eastAsia="方正小标宋简体"/>
          <w:sz w:val="72"/>
          <w:szCs w:val="72"/>
        </w:rPr>
      </w:pPr>
    </w:p>
    <w:p>
      <w:pPr>
        <w:spacing w:line="576" w:lineRule="exact"/>
        <w:jc w:val="center"/>
        <w:outlineLvl w:val="0"/>
        <w:rPr>
          <w:rFonts w:eastAsia="方正小标宋简体"/>
          <w:sz w:val="72"/>
          <w:szCs w:val="72"/>
        </w:rPr>
      </w:pPr>
    </w:p>
    <w:p>
      <w:pPr>
        <w:adjustRightInd w:val="0"/>
        <w:snapToGrid w:val="0"/>
        <w:spacing w:line="1040" w:lineRule="exact"/>
        <w:jc w:val="center"/>
        <w:outlineLvl w:val="0"/>
        <w:rPr>
          <w:rFonts w:eastAsia="方正小标宋简体"/>
          <w:sz w:val="72"/>
          <w:szCs w:val="72"/>
        </w:rPr>
      </w:pPr>
      <w:r>
        <w:rPr>
          <w:rFonts w:eastAsia="方正小标宋简体"/>
          <w:sz w:val="72"/>
          <w:szCs w:val="72"/>
        </w:rPr>
        <w:t>2022年度</w:t>
      </w:r>
      <w:bookmarkEnd w:id="0"/>
      <w:bookmarkEnd w:id="1"/>
      <w:bookmarkEnd w:id="2"/>
      <w:bookmarkEnd w:id="3"/>
      <w:bookmarkEnd w:id="4"/>
    </w:p>
    <w:bookmarkEnd w:id="5"/>
    <w:p>
      <w:pPr>
        <w:adjustRightInd w:val="0"/>
        <w:snapToGrid w:val="0"/>
        <w:spacing w:line="1040" w:lineRule="exact"/>
        <w:jc w:val="center"/>
        <w:outlineLvl w:val="0"/>
        <w:rPr>
          <w:rFonts w:eastAsia="方正小标宋简体"/>
          <w:sz w:val="72"/>
          <w:szCs w:val="72"/>
        </w:rPr>
      </w:pPr>
      <w:bookmarkStart w:id="6" w:name="_Toc15377426"/>
      <w:bookmarkStart w:id="7" w:name="_Toc15396476"/>
      <w:bookmarkStart w:id="8" w:name="_Toc15378442"/>
      <w:bookmarkStart w:id="9" w:name="_Toc15377194"/>
      <w:bookmarkStart w:id="10" w:name="_Toc15306268"/>
      <w:bookmarkStart w:id="11" w:name="_Toc15396598"/>
      <w:r>
        <w:rPr>
          <w:rFonts w:eastAsia="方正小标宋简体"/>
          <w:sz w:val="72"/>
          <w:szCs w:val="72"/>
        </w:rPr>
        <w:t>攀枝花市档案馆</w:t>
      </w:r>
    </w:p>
    <w:p>
      <w:pPr>
        <w:adjustRightInd w:val="0"/>
        <w:snapToGrid w:val="0"/>
        <w:spacing w:line="1040" w:lineRule="exact"/>
        <w:jc w:val="center"/>
        <w:outlineLvl w:val="0"/>
        <w:rPr>
          <w:rFonts w:eastAsia="方正小标宋简体"/>
          <w:sz w:val="72"/>
          <w:szCs w:val="72"/>
        </w:rPr>
      </w:pPr>
      <w:r>
        <w:rPr>
          <w:rFonts w:eastAsia="方正小标宋简体"/>
          <w:sz w:val="72"/>
          <w:szCs w:val="72"/>
        </w:rPr>
        <w:t>部门决算</w:t>
      </w:r>
      <w:bookmarkEnd w:id="6"/>
      <w:bookmarkEnd w:id="7"/>
      <w:bookmarkEnd w:id="8"/>
      <w:bookmarkEnd w:id="9"/>
      <w:bookmarkEnd w:id="10"/>
      <w:bookmarkEnd w:id="11"/>
    </w:p>
    <w:p>
      <w:pPr>
        <w:widowControl/>
        <w:spacing w:line="960" w:lineRule="exact"/>
        <w:jc w:val="center"/>
        <w:rPr>
          <w:rFonts w:eastAsia="黑体"/>
          <w:sz w:val="48"/>
          <w:szCs w:val="48"/>
        </w:rPr>
      </w:pPr>
      <w:r>
        <w:rPr>
          <w:rFonts w:eastAsia="方正小标宋简体"/>
          <w:sz w:val="36"/>
          <w:szCs w:val="36"/>
        </w:rPr>
        <w:br w:type="page"/>
      </w:r>
      <w:r>
        <w:rPr>
          <w:rFonts w:eastAsia="黑体"/>
          <w:sz w:val="48"/>
          <w:szCs w:val="48"/>
        </w:rPr>
        <w:t>目录</w:t>
      </w:r>
    </w:p>
    <w:p>
      <w:pPr>
        <w:widowControl/>
        <w:spacing w:line="576" w:lineRule="exact"/>
        <w:jc w:val="center"/>
        <w:rPr>
          <w:rFonts w:eastAsia="黑体"/>
          <w:sz w:val="28"/>
          <w:szCs w:val="28"/>
        </w:rPr>
      </w:pPr>
    </w:p>
    <w:p>
      <w:pPr>
        <w:pStyle w:val="12"/>
        <w:spacing w:line="576" w:lineRule="exact"/>
        <w:rPr>
          <w:rFonts w:ascii="Times New Roman" w:hAnsi="Times New Roman"/>
        </w:rPr>
      </w:pPr>
      <w:r>
        <w:rPr>
          <w:rFonts w:ascii="Times New Roman" w:hAnsi="Times New Roman"/>
        </w:rPr>
        <w:t>公开时间：2023年9月</w:t>
      </w:r>
      <w:r>
        <w:rPr>
          <w:rFonts w:hint="eastAsia" w:ascii="Times New Roman" w:hAnsi="Times New Roman"/>
          <w:lang w:val="en-US" w:eastAsia="zh-CN"/>
        </w:rPr>
        <w:t>13</w:t>
      </w:r>
      <w:bookmarkStart w:id="151" w:name="_GoBack"/>
      <w:bookmarkEnd w:id="151"/>
      <w:r>
        <w:rPr>
          <w:rFonts w:ascii="Times New Roman" w:hAnsi="Times New Roman"/>
        </w:rPr>
        <w:t>日</w:t>
      </w:r>
    </w:p>
    <w:p>
      <w:pPr>
        <w:spacing w:line="576" w:lineRule="exact"/>
      </w:pPr>
    </w:p>
    <w:sdt>
      <w:sdtPr>
        <w:rPr>
          <w:rFonts w:eastAsiaTheme="minorEastAsia"/>
          <w:sz w:val="28"/>
          <w:szCs w:val="28"/>
        </w:rPr>
        <w:id w:val="1075715065"/>
        <w:docPartObj>
          <w:docPartGallery w:val="Table of Contents"/>
          <w:docPartUnique/>
        </w:docPartObj>
      </w:sdtPr>
      <w:sdtEndPr>
        <w:rPr>
          <w:rFonts w:eastAsiaTheme="minorEastAsia"/>
          <w:sz w:val="28"/>
          <w:szCs w:val="28"/>
        </w:rPr>
      </w:sdtEndPr>
      <w:sdtContent>
        <w:p>
          <w:pPr>
            <w:spacing w:line="576" w:lineRule="exact"/>
            <w:jc w:val="center"/>
            <w:rPr>
              <w:rFonts w:eastAsiaTheme="minorEastAsia"/>
              <w:sz w:val="28"/>
              <w:szCs w:val="28"/>
            </w:rPr>
          </w:pPr>
          <w:bookmarkStart w:id="12" w:name="_Toc980763371_WPSOffice_Type2"/>
          <w:bookmarkStart w:id="13" w:name="_Toc15396599"/>
          <w:bookmarkStart w:id="14" w:name="_Toc15377196"/>
        </w:p>
        <w:p>
          <w:pPr>
            <w:pStyle w:val="51"/>
            <w:tabs>
              <w:tab w:val="right" w:leader="dot" w:pos="8306"/>
            </w:tabs>
            <w:spacing w:line="576" w:lineRule="exact"/>
            <w:rPr>
              <w:rFonts w:ascii="Times New Roman" w:hAnsi="Times New Roman" w:eastAsia="仿宋" w:cs="Times New Roman"/>
              <w:sz w:val="28"/>
              <w:szCs w:val="28"/>
            </w:rPr>
          </w:pPr>
          <w:r>
            <w:fldChar w:fldCharType="begin"/>
          </w:r>
          <w:r>
            <w:instrText xml:space="preserve"> HYPERLINK \l "_Toc373754188_WPSOffice_Level1" </w:instrText>
          </w:r>
          <w:r>
            <w:fldChar w:fldCharType="separate"/>
          </w:r>
          <w:sdt>
            <w:sdtPr>
              <w:rPr>
                <w:rFonts w:ascii="Times New Roman" w:hAnsi="Times New Roman" w:eastAsia="仿宋" w:cs="Times New Roman"/>
                <w:b/>
                <w:bCs/>
                <w:kern w:val="2"/>
                <w:sz w:val="28"/>
                <w:szCs w:val="28"/>
              </w:rPr>
              <w:id w:val="835488021"/>
              <w:placeholder>
                <w:docPart w:val="{ffda5e44-3992-43bf-b42c-17038944b8fe}"/>
              </w:placeholder>
            </w:sdtPr>
            <w:sdtEndPr>
              <w:rPr>
                <w:rFonts w:ascii="Times New Roman" w:hAnsi="Times New Roman" w:eastAsia="仿宋" w:cs="Times New Roman"/>
                <w:b/>
                <w:bCs/>
                <w:kern w:val="2"/>
                <w:sz w:val="28"/>
                <w:szCs w:val="28"/>
              </w:rPr>
            </w:sdtEndPr>
            <w:sdtContent>
              <w:r>
                <w:rPr>
                  <w:rFonts w:ascii="Times New Roman" w:hAnsi="Times New Roman" w:eastAsia="仿宋" w:cs="Times New Roman"/>
                  <w:b/>
                  <w:bCs/>
                  <w:sz w:val="28"/>
                  <w:szCs w:val="28"/>
                </w:rPr>
                <w:t>第一部分 部门概况</w:t>
              </w:r>
            </w:sdtContent>
          </w:sdt>
          <w:r>
            <w:rPr>
              <w:rFonts w:ascii="Times New Roman" w:hAnsi="Times New Roman" w:eastAsia="仿宋" w:cs="Times New Roman"/>
              <w:b/>
              <w:bCs/>
              <w:sz w:val="28"/>
              <w:szCs w:val="28"/>
            </w:rPr>
            <w:tab/>
          </w:r>
          <w:r>
            <w:rPr>
              <w:rFonts w:hint="eastAsia" w:ascii="Times New Roman" w:hAnsi="Times New Roman" w:eastAsia="仿宋" w:cs="Times New Roman"/>
              <w:b/>
              <w:bCs/>
              <w:sz w:val="28"/>
              <w:szCs w:val="28"/>
            </w:rPr>
            <w:t>4</w:t>
          </w:r>
          <w:r>
            <w:rPr>
              <w:rFonts w:hint="eastAsia" w:ascii="Times New Roman" w:hAnsi="Times New Roman" w:eastAsia="仿宋" w:cs="Times New Roman"/>
              <w:b/>
              <w:bCs/>
              <w:sz w:val="28"/>
              <w:szCs w:val="28"/>
            </w:rPr>
            <w:fldChar w:fldCharType="end"/>
          </w:r>
        </w:p>
        <w:p>
          <w:pPr>
            <w:pStyle w:val="52"/>
            <w:tabs>
              <w:tab w:val="right" w:leader="dot" w:pos="8306"/>
            </w:tabs>
            <w:spacing w:line="576" w:lineRule="exact"/>
            <w:ind w:left="420"/>
            <w:rPr>
              <w:rFonts w:ascii="Times New Roman" w:hAnsi="Times New Roman" w:eastAsia="仿宋" w:cs="Times New Roman"/>
              <w:sz w:val="28"/>
              <w:szCs w:val="28"/>
            </w:rPr>
          </w:pPr>
          <w:r>
            <w:fldChar w:fldCharType="begin"/>
          </w:r>
          <w:r>
            <w:instrText xml:space="preserve"> HYPERLINK \l "_Toc980763371_WPSOffice_Level2" </w:instrText>
          </w:r>
          <w:r>
            <w:fldChar w:fldCharType="separate"/>
          </w:r>
          <w:sdt>
            <w:sdtPr>
              <w:rPr>
                <w:rFonts w:ascii="Times New Roman" w:hAnsi="Times New Roman" w:eastAsia="仿宋" w:cs="Times New Roman"/>
                <w:kern w:val="2"/>
                <w:sz w:val="28"/>
                <w:szCs w:val="28"/>
              </w:rPr>
              <w:id w:val="1222168980"/>
              <w:placeholder>
                <w:docPart w:val="{a92cde48-563a-448e-8f69-939549024af0}"/>
              </w:placeholder>
            </w:sdtPr>
            <w:sdtEndPr>
              <w:rPr>
                <w:rFonts w:ascii="Times New Roman" w:hAnsi="Times New Roman" w:eastAsia="仿宋" w:cs="Times New Roman"/>
                <w:kern w:val="2"/>
                <w:sz w:val="28"/>
                <w:szCs w:val="28"/>
              </w:rPr>
            </w:sdtEndPr>
            <w:sdtContent>
              <w:r>
                <w:rPr>
                  <w:rFonts w:ascii="Times New Roman" w:hAnsi="Times New Roman" w:eastAsia="仿宋" w:cs="Times New Roman"/>
                  <w:sz w:val="28"/>
                  <w:szCs w:val="28"/>
                </w:rPr>
                <w:t>一、 部门职责</w:t>
              </w:r>
            </w:sdtContent>
          </w:sdt>
          <w:r>
            <w:rPr>
              <w:rFonts w:ascii="Times New Roman" w:hAnsi="Times New Roman" w:eastAsia="仿宋" w:cs="Times New Roman"/>
              <w:sz w:val="28"/>
              <w:szCs w:val="28"/>
            </w:rPr>
            <w:tab/>
          </w:r>
          <w:bookmarkStart w:id="15" w:name="_Toc980763371_WPSOffice_Level2Page"/>
          <w:r>
            <w:rPr>
              <w:rFonts w:ascii="Times New Roman" w:hAnsi="Times New Roman" w:eastAsia="仿宋" w:cs="Times New Roman"/>
              <w:sz w:val="28"/>
              <w:szCs w:val="28"/>
            </w:rPr>
            <w:t>4</w:t>
          </w:r>
          <w:bookmarkEnd w:id="15"/>
          <w:r>
            <w:rPr>
              <w:rFonts w:ascii="Times New Roman" w:hAnsi="Times New Roman" w:eastAsia="仿宋" w:cs="Times New Roman"/>
              <w:sz w:val="28"/>
              <w:szCs w:val="28"/>
            </w:rPr>
            <w:fldChar w:fldCharType="end"/>
          </w:r>
        </w:p>
        <w:p>
          <w:pPr>
            <w:pStyle w:val="52"/>
            <w:tabs>
              <w:tab w:val="right" w:leader="dot" w:pos="8306"/>
            </w:tabs>
            <w:spacing w:line="576" w:lineRule="exact"/>
            <w:ind w:left="420"/>
            <w:rPr>
              <w:rFonts w:ascii="Times New Roman" w:hAnsi="Times New Roman" w:eastAsia="仿宋" w:cs="Times New Roman"/>
              <w:sz w:val="28"/>
              <w:szCs w:val="28"/>
            </w:rPr>
          </w:pPr>
          <w:r>
            <w:fldChar w:fldCharType="begin"/>
          </w:r>
          <w:r>
            <w:instrText xml:space="preserve"> HYPERLINK \l "_Toc1323791133_WPSOffice_Level2" </w:instrText>
          </w:r>
          <w:r>
            <w:fldChar w:fldCharType="separate"/>
          </w:r>
          <w:sdt>
            <w:sdtPr>
              <w:rPr>
                <w:rFonts w:ascii="Times New Roman" w:hAnsi="Times New Roman" w:eastAsia="仿宋" w:cs="Times New Roman"/>
                <w:kern w:val="2"/>
                <w:sz w:val="28"/>
                <w:szCs w:val="28"/>
              </w:rPr>
              <w:id w:val="-1785645198"/>
              <w:placeholder>
                <w:docPart w:val="{01aa7d81-4588-47ca-9c38-861958d047e1}"/>
              </w:placeholder>
            </w:sdtPr>
            <w:sdtEndPr>
              <w:rPr>
                <w:rFonts w:ascii="Times New Roman" w:hAnsi="Times New Roman" w:eastAsia="仿宋" w:cs="Times New Roman"/>
                <w:kern w:val="2"/>
                <w:sz w:val="28"/>
                <w:szCs w:val="28"/>
              </w:rPr>
            </w:sdtEndPr>
            <w:sdtContent>
              <w:r>
                <w:rPr>
                  <w:rFonts w:ascii="Times New Roman" w:hAnsi="Times New Roman" w:eastAsia="仿宋" w:cs="Times New Roman"/>
                  <w:sz w:val="28"/>
                  <w:szCs w:val="28"/>
                </w:rPr>
                <w:t>二、机构设置</w:t>
              </w:r>
            </w:sdtContent>
          </w:sdt>
          <w:r>
            <w:rPr>
              <w:rFonts w:ascii="Times New Roman" w:hAnsi="Times New Roman" w:eastAsia="仿宋" w:cs="Times New Roman"/>
              <w:sz w:val="28"/>
              <w:szCs w:val="28"/>
            </w:rPr>
            <w:tab/>
          </w:r>
          <w:bookmarkStart w:id="16" w:name="_Toc1323791133_WPSOffice_Level2Page"/>
          <w:r>
            <w:rPr>
              <w:rFonts w:ascii="Times New Roman" w:hAnsi="Times New Roman" w:eastAsia="仿宋" w:cs="Times New Roman"/>
              <w:sz w:val="28"/>
              <w:szCs w:val="28"/>
            </w:rPr>
            <w:t>4</w:t>
          </w:r>
          <w:bookmarkEnd w:id="16"/>
          <w:r>
            <w:rPr>
              <w:rFonts w:ascii="Times New Roman" w:hAnsi="Times New Roman" w:eastAsia="仿宋" w:cs="Times New Roman"/>
              <w:sz w:val="28"/>
              <w:szCs w:val="28"/>
            </w:rPr>
            <w:fldChar w:fldCharType="end"/>
          </w:r>
        </w:p>
        <w:p>
          <w:pPr>
            <w:pStyle w:val="51"/>
            <w:tabs>
              <w:tab w:val="right" w:leader="dot" w:pos="8306"/>
            </w:tabs>
            <w:spacing w:line="576" w:lineRule="exact"/>
            <w:rPr>
              <w:rFonts w:ascii="Times New Roman" w:hAnsi="Times New Roman" w:eastAsia="仿宋" w:cs="Times New Roman"/>
              <w:sz w:val="28"/>
              <w:szCs w:val="28"/>
            </w:rPr>
          </w:pPr>
          <w:r>
            <w:fldChar w:fldCharType="begin"/>
          </w:r>
          <w:r>
            <w:instrText xml:space="preserve"> HYPERLINK \l "_Toc980763371_WPSOffice_Level1" </w:instrText>
          </w:r>
          <w:r>
            <w:fldChar w:fldCharType="separate"/>
          </w:r>
          <w:sdt>
            <w:sdtPr>
              <w:rPr>
                <w:rFonts w:ascii="Times New Roman" w:hAnsi="Times New Roman" w:eastAsia="仿宋" w:cs="Times New Roman"/>
                <w:b/>
                <w:bCs/>
                <w:kern w:val="2"/>
                <w:sz w:val="28"/>
                <w:szCs w:val="28"/>
              </w:rPr>
              <w:id w:val="1795323737"/>
              <w:placeholder>
                <w:docPart w:val="{bf494120-cb30-496a-b086-a77e5ebd820a}"/>
              </w:placeholder>
            </w:sdtPr>
            <w:sdtEndPr>
              <w:rPr>
                <w:rFonts w:ascii="Times New Roman" w:hAnsi="Times New Roman" w:eastAsia="仿宋" w:cs="Times New Roman"/>
                <w:b/>
                <w:bCs/>
                <w:kern w:val="2"/>
                <w:sz w:val="28"/>
                <w:szCs w:val="28"/>
              </w:rPr>
            </w:sdtEndPr>
            <w:sdtContent>
              <w:r>
                <w:rPr>
                  <w:rFonts w:ascii="Times New Roman" w:hAnsi="Times New Roman" w:eastAsia="仿宋" w:cs="Times New Roman"/>
                  <w:b/>
                  <w:bCs/>
                  <w:sz w:val="28"/>
                  <w:szCs w:val="28"/>
                </w:rPr>
                <w:t>第二部分 2022年度部门决算情况说明</w:t>
              </w:r>
            </w:sdtContent>
          </w:sdt>
          <w:r>
            <w:rPr>
              <w:rFonts w:ascii="Times New Roman" w:hAnsi="Times New Roman" w:eastAsia="仿宋" w:cs="Times New Roman"/>
              <w:b/>
              <w:bCs/>
              <w:sz w:val="28"/>
              <w:szCs w:val="28"/>
            </w:rPr>
            <w:tab/>
          </w:r>
          <w:bookmarkStart w:id="17" w:name="_Toc980763371_WPSOffice_Level1Page"/>
          <w:r>
            <w:rPr>
              <w:rFonts w:ascii="Times New Roman" w:hAnsi="Times New Roman" w:eastAsia="仿宋" w:cs="Times New Roman"/>
              <w:b/>
              <w:bCs/>
              <w:sz w:val="28"/>
              <w:szCs w:val="28"/>
            </w:rPr>
            <w:t>5</w:t>
          </w:r>
          <w:bookmarkEnd w:id="17"/>
          <w:r>
            <w:rPr>
              <w:rFonts w:ascii="Times New Roman" w:hAnsi="Times New Roman" w:eastAsia="仿宋" w:cs="Times New Roman"/>
              <w:b/>
              <w:bCs/>
              <w:sz w:val="28"/>
              <w:szCs w:val="28"/>
            </w:rPr>
            <w:fldChar w:fldCharType="end"/>
          </w:r>
        </w:p>
        <w:p>
          <w:pPr>
            <w:pStyle w:val="52"/>
            <w:tabs>
              <w:tab w:val="right" w:leader="dot" w:pos="8306"/>
            </w:tabs>
            <w:spacing w:line="576" w:lineRule="exact"/>
            <w:ind w:left="420"/>
            <w:rPr>
              <w:rFonts w:ascii="Times New Roman" w:hAnsi="Times New Roman" w:eastAsia="仿宋" w:cs="Times New Roman"/>
              <w:sz w:val="28"/>
              <w:szCs w:val="28"/>
            </w:rPr>
          </w:pPr>
          <w:r>
            <w:fldChar w:fldCharType="begin"/>
          </w:r>
          <w:r>
            <w:instrText xml:space="preserve"> HYPERLINK \l "_Toc717592090_WPSOffice_Level2" </w:instrText>
          </w:r>
          <w:r>
            <w:fldChar w:fldCharType="separate"/>
          </w:r>
          <w:sdt>
            <w:sdtPr>
              <w:rPr>
                <w:rFonts w:ascii="Times New Roman" w:hAnsi="Times New Roman" w:eastAsia="仿宋" w:cs="Times New Roman"/>
                <w:kern w:val="2"/>
                <w:sz w:val="28"/>
                <w:szCs w:val="28"/>
              </w:rPr>
              <w:id w:val="-299538800"/>
              <w:placeholder>
                <w:docPart w:val="{06b27bab-e308-4f4b-9246-fbdacdaf214e}"/>
              </w:placeholder>
            </w:sdtPr>
            <w:sdtEndPr>
              <w:rPr>
                <w:rFonts w:ascii="Times New Roman" w:hAnsi="Times New Roman" w:eastAsia="仿宋" w:cs="Times New Roman"/>
                <w:kern w:val="2"/>
                <w:sz w:val="28"/>
                <w:szCs w:val="28"/>
              </w:rPr>
            </w:sdtEndPr>
            <w:sdtContent>
              <w:r>
                <w:rPr>
                  <w:rFonts w:ascii="Times New Roman" w:hAnsi="Times New Roman" w:eastAsia="仿宋" w:cs="Times New Roman"/>
                  <w:sz w:val="28"/>
                  <w:szCs w:val="28"/>
                </w:rPr>
                <w:t>一、 收入支出决算总体情况说明</w:t>
              </w:r>
            </w:sdtContent>
          </w:sdt>
          <w:r>
            <w:rPr>
              <w:rFonts w:ascii="Times New Roman" w:hAnsi="Times New Roman" w:eastAsia="仿宋" w:cs="Times New Roman"/>
              <w:sz w:val="28"/>
              <w:szCs w:val="28"/>
            </w:rPr>
            <w:tab/>
          </w:r>
          <w:bookmarkStart w:id="18" w:name="_Toc717592090_WPSOffice_Level2Page"/>
          <w:r>
            <w:rPr>
              <w:rFonts w:ascii="Times New Roman" w:hAnsi="Times New Roman" w:eastAsia="仿宋" w:cs="Times New Roman"/>
              <w:sz w:val="28"/>
              <w:szCs w:val="28"/>
            </w:rPr>
            <w:t>5</w:t>
          </w:r>
          <w:bookmarkEnd w:id="18"/>
          <w:r>
            <w:rPr>
              <w:rFonts w:ascii="Times New Roman" w:hAnsi="Times New Roman" w:eastAsia="仿宋" w:cs="Times New Roman"/>
              <w:sz w:val="28"/>
              <w:szCs w:val="28"/>
            </w:rPr>
            <w:fldChar w:fldCharType="end"/>
          </w:r>
        </w:p>
        <w:p>
          <w:pPr>
            <w:pStyle w:val="52"/>
            <w:tabs>
              <w:tab w:val="right" w:leader="dot" w:pos="8306"/>
            </w:tabs>
            <w:spacing w:line="576" w:lineRule="exact"/>
            <w:ind w:left="420"/>
            <w:rPr>
              <w:rFonts w:ascii="Times New Roman" w:hAnsi="Times New Roman" w:eastAsia="仿宋" w:cs="Times New Roman"/>
              <w:sz w:val="28"/>
              <w:szCs w:val="28"/>
            </w:rPr>
          </w:pPr>
          <w:r>
            <w:fldChar w:fldCharType="begin"/>
          </w:r>
          <w:r>
            <w:instrText xml:space="preserve"> HYPERLINK \l "_Toc98558766_WPSOffice_Level2" </w:instrText>
          </w:r>
          <w:r>
            <w:fldChar w:fldCharType="separate"/>
          </w:r>
          <w:sdt>
            <w:sdtPr>
              <w:rPr>
                <w:rFonts w:ascii="Times New Roman" w:hAnsi="Times New Roman" w:eastAsia="仿宋" w:cs="Times New Roman"/>
                <w:kern w:val="2"/>
                <w:sz w:val="28"/>
                <w:szCs w:val="28"/>
              </w:rPr>
              <w:id w:val="-22788274"/>
              <w:placeholder>
                <w:docPart w:val="{e4d0eeb9-9bd9-4a94-8785-7d955a5a3953}"/>
              </w:placeholder>
            </w:sdtPr>
            <w:sdtEndPr>
              <w:rPr>
                <w:rFonts w:ascii="Times New Roman" w:hAnsi="Times New Roman" w:eastAsia="仿宋" w:cs="Times New Roman"/>
                <w:kern w:val="2"/>
                <w:sz w:val="28"/>
                <w:szCs w:val="28"/>
              </w:rPr>
            </w:sdtEndPr>
            <w:sdtContent>
              <w:r>
                <w:rPr>
                  <w:rFonts w:ascii="Times New Roman" w:hAnsi="Times New Roman" w:eastAsia="仿宋" w:cs="Times New Roman"/>
                  <w:sz w:val="28"/>
                  <w:szCs w:val="28"/>
                </w:rPr>
                <w:t>二、 收入决算情况说明</w:t>
              </w:r>
            </w:sdtContent>
          </w:sdt>
          <w:r>
            <w:rPr>
              <w:rFonts w:ascii="Times New Roman" w:hAnsi="Times New Roman" w:eastAsia="仿宋" w:cs="Times New Roman"/>
              <w:sz w:val="28"/>
              <w:szCs w:val="28"/>
            </w:rPr>
            <w:tab/>
          </w:r>
          <w:bookmarkStart w:id="19" w:name="_Toc98558766_WPSOffice_Level2Page"/>
          <w:r>
            <w:rPr>
              <w:rFonts w:ascii="Times New Roman" w:hAnsi="Times New Roman" w:eastAsia="仿宋" w:cs="Times New Roman"/>
              <w:sz w:val="28"/>
              <w:szCs w:val="28"/>
            </w:rPr>
            <w:t>5</w:t>
          </w:r>
          <w:bookmarkEnd w:id="19"/>
          <w:r>
            <w:rPr>
              <w:rFonts w:ascii="Times New Roman" w:hAnsi="Times New Roman" w:eastAsia="仿宋" w:cs="Times New Roman"/>
              <w:sz w:val="28"/>
              <w:szCs w:val="28"/>
            </w:rPr>
            <w:fldChar w:fldCharType="end"/>
          </w:r>
        </w:p>
        <w:p>
          <w:pPr>
            <w:pStyle w:val="52"/>
            <w:tabs>
              <w:tab w:val="right" w:leader="dot" w:pos="8306"/>
            </w:tabs>
            <w:spacing w:line="576" w:lineRule="exact"/>
            <w:ind w:left="420"/>
            <w:rPr>
              <w:rFonts w:ascii="Times New Roman" w:hAnsi="Times New Roman" w:eastAsia="仿宋" w:cs="Times New Roman"/>
              <w:sz w:val="28"/>
              <w:szCs w:val="28"/>
            </w:rPr>
          </w:pPr>
          <w:r>
            <w:fldChar w:fldCharType="begin"/>
          </w:r>
          <w:r>
            <w:instrText xml:space="preserve"> HYPERLINK \l "_Toc1025972202_WPSOffice_Level2" </w:instrText>
          </w:r>
          <w:r>
            <w:fldChar w:fldCharType="separate"/>
          </w:r>
          <w:sdt>
            <w:sdtPr>
              <w:rPr>
                <w:rFonts w:ascii="Times New Roman" w:hAnsi="Times New Roman" w:eastAsia="仿宋" w:cs="Times New Roman"/>
                <w:kern w:val="2"/>
                <w:sz w:val="28"/>
                <w:szCs w:val="28"/>
              </w:rPr>
              <w:id w:val="-589004632"/>
              <w:placeholder>
                <w:docPart w:val="{6e6f8630-489d-4329-9153-fe37d02b05c1}"/>
              </w:placeholder>
            </w:sdtPr>
            <w:sdtEndPr>
              <w:rPr>
                <w:rFonts w:ascii="Times New Roman" w:hAnsi="Times New Roman" w:eastAsia="仿宋" w:cs="Times New Roman"/>
                <w:kern w:val="2"/>
                <w:sz w:val="28"/>
                <w:szCs w:val="28"/>
              </w:rPr>
            </w:sdtEndPr>
            <w:sdtContent>
              <w:r>
                <w:rPr>
                  <w:rFonts w:ascii="Times New Roman" w:hAnsi="Times New Roman" w:eastAsia="仿宋" w:cs="Times New Roman"/>
                  <w:sz w:val="28"/>
                  <w:szCs w:val="28"/>
                </w:rPr>
                <w:t>三、 支出决算情况说明</w:t>
              </w:r>
            </w:sdtContent>
          </w:sdt>
          <w:r>
            <w:rPr>
              <w:rFonts w:ascii="Times New Roman" w:hAnsi="Times New Roman" w:eastAsia="仿宋" w:cs="Times New Roman"/>
              <w:sz w:val="28"/>
              <w:szCs w:val="28"/>
            </w:rPr>
            <w:tab/>
          </w:r>
          <w:bookmarkStart w:id="20" w:name="_Toc1025972202_WPSOffice_Level2Page"/>
          <w:r>
            <w:rPr>
              <w:rFonts w:ascii="Times New Roman" w:hAnsi="Times New Roman" w:eastAsia="仿宋" w:cs="Times New Roman"/>
              <w:sz w:val="28"/>
              <w:szCs w:val="28"/>
            </w:rPr>
            <w:t>6</w:t>
          </w:r>
          <w:bookmarkEnd w:id="20"/>
          <w:r>
            <w:rPr>
              <w:rFonts w:ascii="Times New Roman" w:hAnsi="Times New Roman" w:eastAsia="仿宋" w:cs="Times New Roman"/>
              <w:sz w:val="28"/>
              <w:szCs w:val="28"/>
            </w:rPr>
            <w:fldChar w:fldCharType="end"/>
          </w:r>
        </w:p>
        <w:p>
          <w:pPr>
            <w:pStyle w:val="52"/>
            <w:tabs>
              <w:tab w:val="right" w:leader="dot" w:pos="8306"/>
            </w:tabs>
            <w:spacing w:line="576" w:lineRule="exact"/>
            <w:ind w:left="420"/>
            <w:rPr>
              <w:rFonts w:ascii="Times New Roman" w:hAnsi="Times New Roman" w:eastAsia="仿宋" w:cs="Times New Roman"/>
              <w:sz w:val="28"/>
              <w:szCs w:val="28"/>
            </w:rPr>
          </w:pPr>
          <w:r>
            <w:fldChar w:fldCharType="begin"/>
          </w:r>
          <w:r>
            <w:instrText xml:space="preserve"> HYPERLINK \l "_Toc1621008110_WPSOffice_Level2" </w:instrText>
          </w:r>
          <w:r>
            <w:fldChar w:fldCharType="separate"/>
          </w:r>
          <w:sdt>
            <w:sdtPr>
              <w:rPr>
                <w:rFonts w:ascii="Times New Roman" w:hAnsi="Times New Roman" w:eastAsia="仿宋" w:cs="Times New Roman"/>
                <w:kern w:val="2"/>
                <w:sz w:val="28"/>
                <w:szCs w:val="28"/>
              </w:rPr>
              <w:id w:val="112024180"/>
              <w:placeholder>
                <w:docPart w:val="{bc2f6235-f23b-460c-a82f-e7f7c34659f5}"/>
              </w:placeholder>
            </w:sdtPr>
            <w:sdtEndPr>
              <w:rPr>
                <w:rFonts w:ascii="Times New Roman" w:hAnsi="Times New Roman" w:eastAsia="仿宋" w:cs="Times New Roman"/>
                <w:kern w:val="2"/>
                <w:sz w:val="28"/>
                <w:szCs w:val="28"/>
              </w:rPr>
            </w:sdtEndPr>
            <w:sdtContent>
              <w:r>
                <w:rPr>
                  <w:rFonts w:ascii="Times New Roman" w:hAnsi="Times New Roman" w:eastAsia="仿宋" w:cs="Times New Roman"/>
                  <w:sz w:val="28"/>
                  <w:szCs w:val="28"/>
                </w:rPr>
                <w:t>四、财政拨款收入支出决算总体情况说明</w:t>
              </w:r>
            </w:sdtContent>
          </w:sdt>
          <w:r>
            <w:rPr>
              <w:rFonts w:ascii="Times New Roman" w:hAnsi="Times New Roman" w:eastAsia="仿宋" w:cs="Times New Roman"/>
              <w:sz w:val="28"/>
              <w:szCs w:val="28"/>
            </w:rPr>
            <w:tab/>
          </w:r>
          <w:bookmarkStart w:id="21" w:name="_Toc1621008110_WPSOffice_Level2Page"/>
          <w:r>
            <w:rPr>
              <w:rFonts w:ascii="Times New Roman" w:hAnsi="Times New Roman" w:eastAsia="仿宋" w:cs="Times New Roman"/>
              <w:sz w:val="28"/>
              <w:szCs w:val="28"/>
            </w:rPr>
            <w:t>7</w:t>
          </w:r>
          <w:bookmarkEnd w:id="21"/>
          <w:r>
            <w:rPr>
              <w:rFonts w:ascii="Times New Roman" w:hAnsi="Times New Roman" w:eastAsia="仿宋" w:cs="Times New Roman"/>
              <w:sz w:val="28"/>
              <w:szCs w:val="28"/>
            </w:rPr>
            <w:fldChar w:fldCharType="end"/>
          </w:r>
        </w:p>
        <w:p>
          <w:pPr>
            <w:pStyle w:val="52"/>
            <w:tabs>
              <w:tab w:val="right" w:leader="dot" w:pos="8306"/>
            </w:tabs>
            <w:spacing w:line="576" w:lineRule="exact"/>
            <w:ind w:left="420"/>
            <w:rPr>
              <w:rFonts w:ascii="Times New Roman" w:hAnsi="Times New Roman" w:eastAsia="仿宋" w:cs="Times New Roman"/>
              <w:sz w:val="28"/>
              <w:szCs w:val="28"/>
            </w:rPr>
          </w:pPr>
          <w:r>
            <w:fldChar w:fldCharType="begin"/>
          </w:r>
          <w:r>
            <w:instrText xml:space="preserve"> HYPERLINK \l "_Toc1927064730_WPSOffice_Level2" </w:instrText>
          </w:r>
          <w:r>
            <w:fldChar w:fldCharType="separate"/>
          </w:r>
          <w:sdt>
            <w:sdtPr>
              <w:rPr>
                <w:rFonts w:ascii="Times New Roman" w:hAnsi="Times New Roman" w:eastAsia="仿宋" w:cs="Times New Roman"/>
                <w:kern w:val="2"/>
                <w:sz w:val="28"/>
                <w:szCs w:val="28"/>
              </w:rPr>
              <w:id w:val="1867713262"/>
              <w:placeholder>
                <w:docPart w:val="{97956fa0-d6ea-4b82-806a-991cdf70cfc4}"/>
              </w:placeholder>
            </w:sdtPr>
            <w:sdtEndPr>
              <w:rPr>
                <w:rFonts w:ascii="Times New Roman" w:hAnsi="Times New Roman" w:eastAsia="仿宋" w:cs="Times New Roman"/>
                <w:kern w:val="2"/>
                <w:sz w:val="28"/>
                <w:szCs w:val="28"/>
              </w:rPr>
            </w:sdtEndPr>
            <w:sdtContent>
              <w:r>
                <w:rPr>
                  <w:rFonts w:ascii="Times New Roman" w:hAnsi="Times New Roman" w:eastAsia="仿宋" w:cs="Times New Roman"/>
                  <w:sz w:val="28"/>
                  <w:szCs w:val="28"/>
                </w:rPr>
                <w:t>五、一般公共预算财政拨款支出决算情况说明</w:t>
              </w:r>
            </w:sdtContent>
          </w:sdt>
          <w:r>
            <w:rPr>
              <w:rFonts w:ascii="Times New Roman" w:hAnsi="Times New Roman" w:eastAsia="仿宋" w:cs="Times New Roman"/>
              <w:sz w:val="28"/>
              <w:szCs w:val="28"/>
            </w:rPr>
            <w:tab/>
          </w:r>
          <w:bookmarkStart w:id="22" w:name="_Toc1927064730_WPSOffice_Level2Page"/>
          <w:r>
            <w:rPr>
              <w:rFonts w:ascii="Times New Roman" w:hAnsi="Times New Roman" w:eastAsia="仿宋" w:cs="Times New Roman"/>
              <w:sz w:val="28"/>
              <w:szCs w:val="28"/>
            </w:rPr>
            <w:t>7</w:t>
          </w:r>
          <w:bookmarkEnd w:id="22"/>
          <w:r>
            <w:rPr>
              <w:rFonts w:ascii="Times New Roman" w:hAnsi="Times New Roman" w:eastAsia="仿宋" w:cs="Times New Roman"/>
              <w:sz w:val="28"/>
              <w:szCs w:val="28"/>
            </w:rPr>
            <w:fldChar w:fldCharType="end"/>
          </w:r>
        </w:p>
        <w:p>
          <w:pPr>
            <w:pStyle w:val="52"/>
            <w:tabs>
              <w:tab w:val="right" w:leader="dot" w:pos="8306"/>
            </w:tabs>
            <w:spacing w:line="576" w:lineRule="exact"/>
            <w:ind w:left="420"/>
            <w:rPr>
              <w:rFonts w:ascii="Times New Roman" w:hAnsi="Times New Roman" w:eastAsia="仿宋" w:cs="Times New Roman"/>
              <w:sz w:val="28"/>
              <w:szCs w:val="28"/>
            </w:rPr>
          </w:pPr>
          <w:r>
            <w:fldChar w:fldCharType="begin"/>
          </w:r>
          <w:r>
            <w:instrText xml:space="preserve"> HYPERLINK \l "_Toc803164031_WPSOffice_Level2" </w:instrText>
          </w:r>
          <w:r>
            <w:fldChar w:fldCharType="separate"/>
          </w:r>
          <w:sdt>
            <w:sdtPr>
              <w:rPr>
                <w:rFonts w:ascii="Times New Roman" w:hAnsi="Times New Roman" w:eastAsia="仿宋" w:cs="Times New Roman"/>
                <w:kern w:val="2"/>
                <w:sz w:val="28"/>
                <w:szCs w:val="28"/>
              </w:rPr>
              <w:id w:val="-2067798476"/>
              <w:placeholder>
                <w:docPart w:val="{fa115ea5-007e-47c4-8f81-a98037c1b56a}"/>
              </w:placeholder>
            </w:sdtPr>
            <w:sdtEndPr>
              <w:rPr>
                <w:rFonts w:ascii="Times New Roman" w:hAnsi="Times New Roman" w:eastAsia="仿宋" w:cs="Times New Roman"/>
                <w:kern w:val="2"/>
                <w:sz w:val="28"/>
                <w:szCs w:val="28"/>
              </w:rPr>
            </w:sdtEndPr>
            <w:sdtContent>
              <w:r>
                <w:rPr>
                  <w:rFonts w:ascii="Times New Roman" w:hAnsi="Times New Roman" w:eastAsia="仿宋" w:cs="Times New Roman"/>
                  <w:sz w:val="28"/>
                  <w:szCs w:val="28"/>
                </w:rPr>
                <w:t>六、一般公共预算财政拨款基本支出决算情况说明</w:t>
              </w:r>
            </w:sdtContent>
          </w:sdt>
          <w:r>
            <w:rPr>
              <w:rFonts w:ascii="Times New Roman" w:hAnsi="Times New Roman" w:eastAsia="仿宋" w:cs="Times New Roman"/>
              <w:sz w:val="28"/>
              <w:szCs w:val="28"/>
            </w:rPr>
            <w:tab/>
          </w:r>
          <w:bookmarkStart w:id="23" w:name="_Toc803164031_WPSOffice_Level2Page"/>
          <w:r>
            <w:rPr>
              <w:rFonts w:ascii="Times New Roman" w:hAnsi="Times New Roman" w:eastAsia="仿宋" w:cs="Times New Roman"/>
              <w:sz w:val="28"/>
              <w:szCs w:val="28"/>
            </w:rPr>
            <w:t>10</w:t>
          </w:r>
          <w:bookmarkEnd w:id="23"/>
          <w:r>
            <w:rPr>
              <w:rFonts w:ascii="Times New Roman" w:hAnsi="Times New Roman" w:eastAsia="仿宋" w:cs="Times New Roman"/>
              <w:sz w:val="28"/>
              <w:szCs w:val="28"/>
            </w:rPr>
            <w:fldChar w:fldCharType="end"/>
          </w:r>
        </w:p>
        <w:p>
          <w:pPr>
            <w:pStyle w:val="52"/>
            <w:tabs>
              <w:tab w:val="right" w:leader="dot" w:pos="8306"/>
            </w:tabs>
            <w:spacing w:line="576" w:lineRule="exact"/>
            <w:ind w:left="420"/>
            <w:rPr>
              <w:rFonts w:ascii="Times New Roman" w:hAnsi="Times New Roman" w:eastAsia="仿宋" w:cs="Times New Roman"/>
              <w:sz w:val="28"/>
              <w:szCs w:val="28"/>
            </w:rPr>
          </w:pPr>
          <w:r>
            <w:fldChar w:fldCharType="begin"/>
          </w:r>
          <w:r>
            <w:instrText xml:space="preserve"> HYPERLINK \l "_Toc1203026573_WPSOffice_Level2" </w:instrText>
          </w:r>
          <w:r>
            <w:fldChar w:fldCharType="separate"/>
          </w:r>
          <w:sdt>
            <w:sdtPr>
              <w:rPr>
                <w:rFonts w:ascii="Times New Roman" w:hAnsi="Times New Roman" w:eastAsia="仿宋" w:cs="Times New Roman"/>
                <w:kern w:val="2"/>
                <w:sz w:val="28"/>
                <w:szCs w:val="28"/>
              </w:rPr>
              <w:id w:val="-1186517791"/>
              <w:placeholder>
                <w:docPart w:val="{9fb39441-f1ef-4473-941a-27860454ebb1}"/>
              </w:placeholder>
            </w:sdtPr>
            <w:sdtEndPr>
              <w:rPr>
                <w:rFonts w:ascii="Times New Roman" w:hAnsi="Times New Roman" w:eastAsia="仿宋" w:cs="Times New Roman"/>
                <w:kern w:val="2"/>
                <w:sz w:val="28"/>
                <w:szCs w:val="28"/>
              </w:rPr>
            </w:sdtEndPr>
            <w:sdtContent>
              <w:r>
                <w:rPr>
                  <w:rFonts w:ascii="Times New Roman" w:hAnsi="Times New Roman" w:eastAsia="仿宋" w:cs="Times New Roman"/>
                  <w:sz w:val="28"/>
                  <w:szCs w:val="28"/>
                </w:rPr>
                <w:t>七、财政拨款“三公”经费支出决算情况说明</w:t>
              </w:r>
            </w:sdtContent>
          </w:sdt>
          <w:r>
            <w:rPr>
              <w:rFonts w:ascii="Times New Roman" w:hAnsi="Times New Roman" w:eastAsia="仿宋" w:cs="Times New Roman"/>
              <w:sz w:val="28"/>
              <w:szCs w:val="28"/>
            </w:rPr>
            <w:tab/>
          </w:r>
          <w:bookmarkStart w:id="24" w:name="_Toc1203026573_WPSOffice_Level2Page"/>
          <w:r>
            <w:rPr>
              <w:rFonts w:ascii="Times New Roman" w:hAnsi="Times New Roman" w:eastAsia="仿宋" w:cs="Times New Roman"/>
              <w:sz w:val="28"/>
              <w:szCs w:val="28"/>
            </w:rPr>
            <w:t>11</w:t>
          </w:r>
          <w:bookmarkEnd w:id="24"/>
          <w:r>
            <w:rPr>
              <w:rFonts w:ascii="Times New Roman" w:hAnsi="Times New Roman" w:eastAsia="仿宋" w:cs="Times New Roman"/>
              <w:sz w:val="28"/>
              <w:szCs w:val="28"/>
            </w:rPr>
            <w:fldChar w:fldCharType="end"/>
          </w:r>
        </w:p>
        <w:p>
          <w:pPr>
            <w:pStyle w:val="52"/>
            <w:tabs>
              <w:tab w:val="right" w:leader="dot" w:pos="8306"/>
            </w:tabs>
            <w:spacing w:line="576" w:lineRule="exact"/>
            <w:ind w:left="420"/>
            <w:rPr>
              <w:rFonts w:ascii="Times New Roman" w:hAnsi="Times New Roman" w:eastAsia="仿宋" w:cs="Times New Roman"/>
              <w:sz w:val="28"/>
              <w:szCs w:val="28"/>
            </w:rPr>
          </w:pPr>
          <w:r>
            <w:fldChar w:fldCharType="begin"/>
          </w:r>
          <w:r>
            <w:instrText xml:space="preserve"> HYPERLINK \l "_Toc1522422521_WPSOffice_Level2" </w:instrText>
          </w:r>
          <w:r>
            <w:fldChar w:fldCharType="separate"/>
          </w:r>
          <w:sdt>
            <w:sdtPr>
              <w:rPr>
                <w:rFonts w:ascii="Times New Roman" w:hAnsi="Times New Roman" w:eastAsia="仿宋" w:cs="Times New Roman"/>
                <w:kern w:val="2"/>
                <w:sz w:val="28"/>
                <w:szCs w:val="28"/>
              </w:rPr>
              <w:id w:val="-64190819"/>
              <w:placeholder>
                <w:docPart w:val="{e589c023-5b74-43d9-b23f-84661f3a0ff6}"/>
              </w:placeholder>
            </w:sdtPr>
            <w:sdtEndPr>
              <w:rPr>
                <w:rFonts w:ascii="Times New Roman" w:hAnsi="Times New Roman" w:eastAsia="仿宋" w:cs="Times New Roman"/>
                <w:kern w:val="2"/>
                <w:sz w:val="28"/>
                <w:szCs w:val="28"/>
              </w:rPr>
            </w:sdtEndPr>
            <w:sdtContent>
              <w:r>
                <w:rPr>
                  <w:rFonts w:ascii="Times New Roman" w:hAnsi="Times New Roman" w:eastAsia="仿宋" w:cs="Times New Roman"/>
                  <w:sz w:val="28"/>
                  <w:szCs w:val="28"/>
                </w:rPr>
                <w:t>八、政府性基金预算支出决算情况说明</w:t>
              </w:r>
            </w:sdtContent>
          </w:sdt>
          <w:r>
            <w:rPr>
              <w:rFonts w:ascii="Times New Roman" w:hAnsi="Times New Roman" w:eastAsia="仿宋" w:cs="Times New Roman"/>
              <w:sz w:val="28"/>
              <w:szCs w:val="28"/>
            </w:rPr>
            <w:tab/>
          </w:r>
          <w:bookmarkStart w:id="25" w:name="_Toc1522422521_WPSOffice_Level2Page"/>
          <w:r>
            <w:rPr>
              <w:rFonts w:ascii="Times New Roman" w:hAnsi="Times New Roman" w:eastAsia="仿宋" w:cs="Times New Roman"/>
              <w:sz w:val="28"/>
              <w:szCs w:val="28"/>
            </w:rPr>
            <w:t>13</w:t>
          </w:r>
          <w:bookmarkEnd w:id="25"/>
          <w:r>
            <w:rPr>
              <w:rFonts w:ascii="Times New Roman" w:hAnsi="Times New Roman" w:eastAsia="仿宋" w:cs="Times New Roman"/>
              <w:sz w:val="28"/>
              <w:szCs w:val="28"/>
            </w:rPr>
            <w:fldChar w:fldCharType="end"/>
          </w:r>
        </w:p>
        <w:p>
          <w:pPr>
            <w:pStyle w:val="52"/>
            <w:tabs>
              <w:tab w:val="right" w:leader="dot" w:pos="8306"/>
            </w:tabs>
            <w:spacing w:line="576" w:lineRule="exact"/>
            <w:ind w:left="420"/>
            <w:rPr>
              <w:rFonts w:ascii="Times New Roman" w:hAnsi="Times New Roman" w:eastAsia="仿宋" w:cs="Times New Roman"/>
              <w:sz w:val="28"/>
              <w:szCs w:val="28"/>
            </w:rPr>
          </w:pPr>
          <w:r>
            <w:fldChar w:fldCharType="begin"/>
          </w:r>
          <w:r>
            <w:instrText xml:space="preserve"> HYPERLINK \l "_Toc1796266068_WPSOffice_Level2" </w:instrText>
          </w:r>
          <w:r>
            <w:fldChar w:fldCharType="separate"/>
          </w:r>
          <w:sdt>
            <w:sdtPr>
              <w:rPr>
                <w:rFonts w:ascii="Times New Roman" w:hAnsi="Times New Roman" w:eastAsia="仿宋" w:cs="Times New Roman"/>
                <w:kern w:val="2"/>
                <w:sz w:val="28"/>
                <w:szCs w:val="28"/>
              </w:rPr>
              <w:id w:val="-1933573685"/>
              <w:placeholder>
                <w:docPart w:val="{fb61dccd-aa86-4fe0-a94d-1d0e1aea74a5}"/>
              </w:placeholder>
            </w:sdtPr>
            <w:sdtEndPr>
              <w:rPr>
                <w:rFonts w:ascii="Times New Roman" w:hAnsi="Times New Roman" w:eastAsia="仿宋" w:cs="Times New Roman"/>
                <w:kern w:val="2"/>
                <w:sz w:val="28"/>
                <w:szCs w:val="28"/>
              </w:rPr>
            </w:sdtEndPr>
            <w:sdtContent>
              <w:r>
                <w:rPr>
                  <w:rFonts w:ascii="Times New Roman" w:hAnsi="Times New Roman" w:eastAsia="仿宋" w:cs="Times New Roman"/>
                  <w:sz w:val="28"/>
                  <w:szCs w:val="28"/>
                </w:rPr>
                <w:t>九、 国有资本经营预算支出决算情况说明</w:t>
              </w:r>
            </w:sdtContent>
          </w:sdt>
          <w:r>
            <w:rPr>
              <w:rFonts w:ascii="Times New Roman" w:hAnsi="Times New Roman" w:eastAsia="仿宋" w:cs="Times New Roman"/>
              <w:sz w:val="28"/>
              <w:szCs w:val="28"/>
            </w:rPr>
            <w:tab/>
          </w:r>
          <w:bookmarkStart w:id="26" w:name="_Toc1796266068_WPSOffice_Level2Page"/>
          <w:r>
            <w:rPr>
              <w:rFonts w:ascii="Times New Roman" w:hAnsi="Times New Roman" w:eastAsia="仿宋" w:cs="Times New Roman"/>
              <w:sz w:val="28"/>
              <w:szCs w:val="28"/>
            </w:rPr>
            <w:t>13</w:t>
          </w:r>
          <w:bookmarkEnd w:id="26"/>
          <w:r>
            <w:rPr>
              <w:rFonts w:ascii="Times New Roman" w:hAnsi="Times New Roman" w:eastAsia="仿宋" w:cs="Times New Roman"/>
              <w:sz w:val="28"/>
              <w:szCs w:val="28"/>
            </w:rPr>
            <w:fldChar w:fldCharType="end"/>
          </w:r>
        </w:p>
        <w:p>
          <w:pPr>
            <w:pStyle w:val="52"/>
            <w:tabs>
              <w:tab w:val="right" w:leader="dot" w:pos="8306"/>
            </w:tabs>
            <w:spacing w:line="576" w:lineRule="exact"/>
            <w:ind w:left="420"/>
            <w:rPr>
              <w:rFonts w:ascii="Times New Roman" w:hAnsi="Times New Roman" w:eastAsia="仿宋" w:cs="Times New Roman"/>
              <w:sz w:val="28"/>
              <w:szCs w:val="28"/>
            </w:rPr>
          </w:pPr>
          <w:r>
            <w:fldChar w:fldCharType="begin"/>
          </w:r>
          <w:r>
            <w:instrText xml:space="preserve"> HYPERLINK \l "_Toc2109593783_WPSOffice_Level2" </w:instrText>
          </w:r>
          <w:r>
            <w:fldChar w:fldCharType="separate"/>
          </w:r>
          <w:sdt>
            <w:sdtPr>
              <w:rPr>
                <w:rFonts w:ascii="Times New Roman" w:hAnsi="Times New Roman" w:eastAsia="仿宋" w:cs="Times New Roman"/>
                <w:kern w:val="2"/>
                <w:sz w:val="28"/>
                <w:szCs w:val="28"/>
              </w:rPr>
              <w:id w:val="76639413"/>
              <w:placeholder>
                <w:docPart w:val="{4cb0c0ba-0b10-47a2-94fd-02eaddad67ce}"/>
              </w:placeholder>
            </w:sdtPr>
            <w:sdtEndPr>
              <w:rPr>
                <w:rFonts w:ascii="Times New Roman" w:hAnsi="Times New Roman" w:eastAsia="仿宋" w:cs="Times New Roman"/>
                <w:kern w:val="2"/>
                <w:sz w:val="28"/>
                <w:szCs w:val="28"/>
              </w:rPr>
            </w:sdtEndPr>
            <w:sdtContent>
              <w:r>
                <w:rPr>
                  <w:rFonts w:ascii="Times New Roman" w:hAnsi="Times New Roman" w:eastAsia="仿宋" w:cs="Times New Roman"/>
                  <w:sz w:val="28"/>
                  <w:szCs w:val="28"/>
                </w:rPr>
                <w:t>十、 其他重要事项的情况说明</w:t>
              </w:r>
            </w:sdtContent>
          </w:sdt>
          <w:r>
            <w:rPr>
              <w:rFonts w:ascii="Times New Roman" w:hAnsi="Times New Roman" w:eastAsia="仿宋" w:cs="Times New Roman"/>
              <w:sz w:val="28"/>
              <w:szCs w:val="28"/>
            </w:rPr>
            <w:tab/>
          </w:r>
          <w:bookmarkStart w:id="27" w:name="_Toc2109593783_WPSOffice_Level2Page"/>
          <w:r>
            <w:rPr>
              <w:rFonts w:ascii="Times New Roman" w:hAnsi="Times New Roman" w:eastAsia="仿宋" w:cs="Times New Roman"/>
              <w:sz w:val="28"/>
              <w:szCs w:val="28"/>
            </w:rPr>
            <w:t>13</w:t>
          </w:r>
          <w:bookmarkEnd w:id="27"/>
          <w:r>
            <w:rPr>
              <w:rFonts w:ascii="Times New Roman" w:hAnsi="Times New Roman" w:eastAsia="仿宋" w:cs="Times New Roman"/>
              <w:sz w:val="28"/>
              <w:szCs w:val="28"/>
            </w:rPr>
            <w:fldChar w:fldCharType="end"/>
          </w:r>
        </w:p>
        <w:p>
          <w:pPr>
            <w:pStyle w:val="51"/>
            <w:tabs>
              <w:tab w:val="right" w:leader="dot" w:pos="8306"/>
            </w:tabs>
            <w:spacing w:line="576" w:lineRule="exact"/>
            <w:rPr>
              <w:rFonts w:ascii="Times New Roman" w:hAnsi="Times New Roman" w:eastAsia="仿宋" w:cs="Times New Roman"/>
              <w:sz w:val="28"/>
              <w:szCs w:val="28"/>
            </w:rPr>
          </w:pPr>
          <w:r>
            <w:fldChar w:fldCharType="begin"/>
          </w:r>
          <w:r>
            <w:instrText xml:space="preserve"> HYPERLINK \l "_Toc1323791133_WPSOffice_Level1" </w:instrText>
          </w:r>
          <w:r>
            <w:fldChar w:fldCharType="separate"/>
          </w:r>
          <w:sdt>
            <w:sdtPr>
              <w:rPr>
                <w:rFonts w:ascii="Times New Roman" w:hAnsi="Times New Roman" w:eastAsia="仿宋" w:cs="Times New Roman"/>
                <w:b/>
                <w:bCs/>
                <w:kern w:val="2"/>
                <w:sz w:val="28"/>
                <w:szCs w:val="28"/>
              </w:rPr>
              <w:id w:val="-1518538162"/>
              <w:placeholder>
                <w:docPart w:val="{1a5462fd-8ebb-493e-9485-ce3b5470f23d}"/>
              </w:placeholder>
            </w:sdtPr>
            <w:sdtEndPr>
              <w:rPr>
                <w:rFonts w:ascii="Times New Roman" w:hAnsi="Times New Roman" w:eastAsia="仿宋" w:cs="Times New Roman"/>
                <w:b/>
                <w:bCs/>
                <w:kern w:val="2"/>
                <w:sz w:val="28"/>
                <w:szCs w:val="28"/>
              </w:rPr>
            </w:sdtEndPr>
            <w:sdtContent>
              <w:r>
                <w:rPr>
                  <w:rFonts w:ascii="Times New Roman" w:hAnsi="Times New Roman" w:eastAsia="仿宋" w:cs="Times New Roman"/>
                  <w:b/>
                  <w:bCs/>
                  <w:sz w:val="28"/>
                  <w:szCs w:val="28"/>
                </w:rPr>
                <w:t>第三部分 名词解释</w:t>
              </w:r>
            </w:sdtContent>
          </w:sdt>
          <w:r>
            <w:rPr>
              <w:rFonts w:ascii="Times New Roman" w:hAnsi="Times New Roman" w:eastAsia="仿宋" w:cs="Times New Roman"/>
              <w:b/>
              <w:bCs/>
              <w:sz w:val="28"/>
              <w:szCs w:val="28"/>
            </w:rPr>
            <w:tab/>
          </w:r>
          <w:bookmarkStart w:id="28" w:name="_Toc1323791133_WPSOffice_Level1Page"/>
          <w:r>
            <w:rPr>
              <w:rFonts w:ascii="Times New Roman" w:hAnsi="Times New Roman" w:eastAsia="仿宋" w:cs="Times New Roman"/>
              <w:b/>
              <w:bCs/>
              <w:sz w:val="28"/>
              <w:szCs w:val="28"/>
            </w:rPr>
            <w:t>15</w:t>
          </w:r>
          <w:bookmarkEnd w:id="28"/>
          <w:r>
            <w:rPr>
              <w:rFonts w:ascii="Times New Roman" w:hAnsi="Times New Roman" w:eastAsia="仿宋" w:cs="Times New Roman"/>
              <w:b/>
              <w:bCs/>
              <w:sz w:val="28"/>
              <w:szCs w:val="28"/>
            </w:rPr>
            <w:fldChar w:fldCharType="end"/>
          </w:r>
        </w:p>
        <w:p>
          <w:pPr>
            <w:pStyle w:val="51"/>
            <w:tabs>
              <w:tab w:val="right" w:leader="dot" w:pos="8306"/>
            </w:tabs>
            <w:spacing w:line="576" w:lineRule="exact"/>
            <w:rPr>
              <w:rFonts w:ascii="Times New Roman" w:hAnsi="Times New Roman" w:eastAsia="仿宋" w:cs="Times New Roman"/>
              <w:sz w:val="28"/>
              <w:szCs w:val="28"/>
            </w:rPr>
          </w:pPr>
          <w:r>
            <w:fldChar w:fldCharType="begin"/>
          </w:r>
          <w:r>
            <w:instrText xml:space="preserve"> HYPERLINK \l "_Toc717592090_WPSOffice_Level1" </w:instrText>
          </w:r>
          <w:r>
            <w:fldChar w:fldCharType="separate"/>
          </w:r>
          <w:sdt>
            <w:sdtPr>
              <w:rPr>
                <w:rFonts w:ascii="Times New Roman" w:hAnsi="Times New Roman" w:eastAsia="仿宋" w:cs="Times New Roman"/>
                <w:b/>
                <w:bCs/>
                <w:kern w:val="2"/>
                <w:sz w:val="28"/>
                <w:szCs w:val="28"/>
              </w:rPr>
              <w:id w:val="-84773184"/>
              <w:placeholder>
                <w:docPart w:val="{a800e302-2388-4b39-b18f-322932f03aa0}"/>
              </w:placeholder>
            </w:sdtPr>
            <w:sdtEndPr>
              <w:rPr>
                <w:rFonts w:ascii="Times New Roman" w:hAnsi="Times New Roman" w:eastAsia="仿宋" w:cs="Times New Roman"/>
                <w:b/>
                <w:bCs/>
                <w:kern w:val="2"/>
                <w:sz w:val="28"/>
                <w:szCs w:val="28"/>
              </w:rPr>
            </w:sdtEndPr>
            <w:sdtContent>
              <w:r>
                <w:rPr>
                  <w:rFonts w:ascii="Times New Roman" w:hAnsi="Times New Roman" w:eastAsia="仿宋" w:cs="Times New Roman"/>
                  <w:b/>
                  <w:bCs/>
                  <w:sz w:val="28"/>
                  <w:szCs w:val="28"/>
                </w:rPr>
                <w:t>第四部分 附件</w:t>
              </w:r>
            </w:sdtContent>
          </w:sdt>
          <w:r>
            <w:rPr>
              <w:rFonts w:ascii="Times New Roman" w:hAnsi="Times New Roman" w:eastAsia="仿宋" w:cs="Times New Roman"/>
              <w:b/>
              <w:bCs/>
              <w:sz w:val="28"/>
              <w:szCs w:val="28"/>
            </w:rPr>
            <w:tab/>
          </w:r>
          <w:bookmarkStart w:id="29" w:name="_Toc717592090_WPSOffice_Level1Page"/>
          <w:r>
            <w:rPr>
              <w:rFonts w:ascii="Times New Roman" w:hAnsi="Times New Roman" w:eastAsia="仿宋" w:cs="Times New Roman"/>
              <w:b/>
              <w:bCs/>
              <w:sz w:val="28"/>
              <w:szCs w:val="28"/>
            </w:rPr>
            <w:t>18</w:t>
          </w:r>
          <w:bookmarkEnd w:id="29"/>
          <w:r>
            <w:rPr>
              <w:rFonts w:ascii="Times New Roman" w:hAnsi="Times New Roman" w:eastAsia="仿宋" w:cs="Times New Roman"/>
              <w:b/>
              <w:bCs/>
              <w:sz w:val="28"/>
              <w:szCs w:val="28"/>
            </w:rPr>
            <w:fldChar w:fldCharType="end"/>
          </w:r>
        </w:p>
        <w:p>
          <w:pPr>
            <w:pStyle w:val="52"/>
            <w:tabs>
              <w:tab w:val="right" w:leader="dot" w:pos="8306"/>
            </w:tabs>
            <w:spacing w:line="576" w:lineRule="exact"/>
            <w:ind w:left="420"/>
            <w:rPr>
              <w:rFonts w:ascii="Times New Roman" w:hAnsi="Times New Roman" w:eastAsia="仿宋" w:cs="Times New Roman"/>
              <w:sz w:val="28"/>
              <w:szCs w:val="28"/>
            </w:rPr>
          </w:pPr>
          <w:r>
            <w:fldChar w:fldCharType="begin"/>
          </w:r>
          <w:r>
            <w:instrText xml:space="preserve"> HYPERLINK \l "_Toc707827819_WPSOffice_Level2" </w:instrText>
          </w:r>
          <w:r>
            <w:fldChar w:fldCharType="separate"/>
          </w:r>
          <w:sdt>
            <w:sdtPr>
              <w:rPr>
                <w:rFonts w:ascii="Times New Roman" w:hAnsi="Times New Roman" w:eastAsia="仿宋" w:cs="Times New Roman"/>
                <w:kern w:val="2"/>
                <w:sz w:val="28"/>
                <w:szCs w:val="28"/>
              </w:rPr>
              <w:id w:val="179327130"/>
              <w:placeholder>
                <w:docPart w:val="{59779b4b-8102-4476-9f7a-42bfbba22249}"/>
              </w:placeholder>
            </w:sdtPr>
            <w:sdtEndPr>
              <w:rPr>
                <w:rFonts w:ascii="Times New Roman" w:hAnsi="Times New Roman" w:eastAsia="仿宋" w:cs="Times New Roman"/>
                <w:kern w:val="2"/>
                <w:sz w:val="28"/>
                <w:szCs w:val="28"/>
              </w:rPr>
            </w:sdtEndPr>
            <w:sdtContent>
              <w:r>
                <w:rPr>
                  <w:rFonts w:ascii="Times New Roman" w:hAnsi="Times New Roman" w:eastAsia="仿宋" w:cs="Times New Roman"/>
                  <w:sz w:val="28"/>
                  <w:szCs w:val="28"/>
                </w:rPr>
                <w:t>2023年攀枝花市档案馆部门整体绩效评价报告</w:t>
              </w:r>
            </w:sdtContent>
          </w:sdt>
          <w:r>
            <w:rPr>
              <w:rFonts w:ascii="Times New Roman" w:hAnsi="Times New Roman" w:eastAsia="仿宋" w:cs="Times New Roman"/>
              <w:sz w:val="28"/>
              <w:szCs w:val="28"/>
            </w:rPr>
            <w:tab/>
          </w:r>
          <w:bookmarkStart w:id="30" w:name="_Toc707827819_WPSOffice_Level2Page"/>
          <w:r>
            <w:rPr>
              <w:rFonts w:ascii="Times New Roman" w:hAnsi="Times New Roman" w:eastAsia="仿宋" w:cs="Times New Roman"/>
              <w:sz w:val="28"/>
              <w:szCs w:val="28"/>
            </w:rPr>
            <w:t>18</w:t>
          </w:r>
          <w:bookmarkEnd w:id="30"/>
          <w:r>
            <w:rPr>
              <w:rFonts w:ascii="Times New Roman" w:hAnsi="Times New Roman" w:eastAsia="仿宋" w:cs="Times New Roman"/>
              <w:sz w:val="28"/>
              <w:szCs w:val="28"/>
            </w:rPr>
            <w:fldChar w:fldCharType="end"/>
          </w:r>
        </w:p>
        <w:p>
          <w:pPr>
            <w:pStyle w:val="52"/>
            <w:tabs>
              <w:tab w:val="right" w:leader="dot" w:pos="8306"/>
            </w:tabs>
            <w:spacing w:line="576" w:lineRule="exact"/>
            <w:ind w:left="420"/>
            <w:rPr>
              <w:rFonts w:ascii="Times New Roman" w:hAnsi="Times New Roman" w:eastAsia="仿宋" w:cs="Times New Roman"/>
              <w:sz w:val="28"/>
              <w:szCs w:val="28"/>
            </w:rPr>
          </w:pPr>
          <w:r>
            <w:fldChar w:fldCharType="begin"/>
          </w:r>
          <w:r>
            <w:instrText xml:space="preserve"> HYPERLINK \l "_Toc495745211_WPSOffice_Level2" </w:instrText>
          </w:r>
          <w:r>
            <w:fldChar w:fldCharType="separate"/>
          </w:r>
          <w:sdt>
            <w:sdtPr>
              <w:rPr>
                <w:rFonts w:ascii="Times New Roman" w:hAnsi="Times New Roman" w:eastAsia="仿宋" w:cs="Times New Roman"/>
                <w:kern w:val="2"/>
                <w:sz w:val="28"/>
                <w:szCs w:val="28"/>
              </w:rPr>
              <w:id w:val="1978718943"/>
              <w:placeholder>
                <w:docPart w:val="{7ca428b9-66da-45df-aa28-979e4d908ee2}"/>
              </w:placeholder>
            </w:sdtPr>
            <w:sdtEndPr>
              <w:rPr>
                <w:rFonts w:ascii="Times New Roman" w:hAnsi="Times New Roman" w:eastAsia="仿宋" w:cs="Times New Roman"/>
                <w:kern w:val="2"/>
                <w:sz w:val="28"/>
                <w:szCs w:val="28"/>
              </w:rPr>
            </w:sdtEndPr>
            <w:sdtContent>
              <w:r>
                <w:rPr>
                  <w:rFonts w:ascii="Times New Roman" w:hAnsi="Times New Roman" w:eastAsia="仿宋" w:cs="Times New Roman"/>
                  <w:sz w:val="28"/>
                  <w:szCs w:val="28"/>
                </w:rPr>
                <w:t>一、部门概况</w:t>
              </w:r>
            </w:sdtContent>
          </w:sdt>
          <w:r>
            <w:rPr>
              <w:rFonts w:ascii="Times New Roman" w:hAnsi="Times New Roman" w:eastAsia="仿宋" w:cs="Times New Roman"/>
              <w:sz w:val="28"/>
              <w:szCs w:val="28"/>
            </w:rPr>
            <w:tab/>
          </w:r>
          <w:bookmarkStart w:id="31" w:name="_Toc495745211_WPSOffice_Level2Page"/>
          <w:r>
            <w:rPr>
              <w:rFonts w:ascii="Times New Roman" w:hAnsi="Times New Roman" w:eastAsia="仿宋" w:cs="Times New Roman"/>
              <w:sz w:val="28"/>
              <w:szCs w:val="28"/>
            </w:rPr>
            <w:t>18</w:t>
          </w:r>
          <w:bookmarkEnd w:id="31"/>
          <w:r>
            <w:rPr>
              <w:rFonts w:ascii="Times New Roman" w:hAnsi="Times New Roman" w:eastAsia="仿宋" w:cs="Times New Roman"/>
              <w:sz w:val="28"/>
              <w:szCs w:val="28"/>
            </w:rPr>
            <w:fldChar w:fldCharType="end"/>
          </w:r>
        </w:p>
        <w:p>
          <w:pPr>
            <w:pStyle w:val="52"/>
            <w:tabs>
              <w:tab w:val="right" w:leader="dot" w:pos="8306"/>
            </w:tabs>
            <w:spacing w:line="576" w:lineRule="exact"/>
            <w:ind w:left="420"/>
            <w:rPr>
              <w:rFonts w:ascii="Times New Roman" w:hAnsi="Times New Roman" w:eastAsia="仿宋" w:cs="Times New Roman"/>
              <w:sz w:val="28"/>
              <w:szCs w:val="28"/>
            </w:rPr>
          </w:pPr>
          <w:r>
            <w:fldChar w:fldCharType="begin"/>
          </w:r>
          <w:r>
            <w:instrText xml:space="preserve"> HYPERLINK \l "_Toc276432058_WPSOffice_Level2" </w:instrText>
          </w:r>
          <w:r>
            <w:fldChar w:fldCharType="separate"/>
          </w:r>
          <w:sdt>
            <w:sdtPr>
              <w:rPr>
                <w:rFonts w:ascii="Times New Roman" w:hAnsi="Times New Roman" w:eastAsia="仿宋" w:cs="Times New Roman"/>
                <w:kern w:val="2"/>
                <w:sz w:val="28"/>
                <w:szCs w:val="28"/>
              </w:rPr>
              <w:id w:val="-36593220"/>
              <w:placeholder>
                <w:docPart w:val="{47fefc18-c013-415c-bce9-a58ec20a2031}"/>
              </w:placeholder>
            </w:sdtPr>
            <w:sdtEndPr>
              <w:rPr>
                <w:rFonts w:ascii="Times New Roman" w:hAnsi="Times New Roman" w:eastAsia="仿宋" w:cs="Times New Roman"/>
                <w:kern w:val="2"/>
                <w:sz w:val="28"/>
                <w:szCs w:val="28"/>
              </w:rPr>
            </w:sdtEndPr>
            <w:sdtContent>
              <w:r>
                <w:rPr>
                  <w:rFonts w:ascii="Times New Roman" w:hAnsi="Times New Roman" w:eastAsia="仿宋" w:cs="Times New Roman"/>
                  <w:sz w:val="28"/>
                  <w:szCs w:val="28"/>
                </w:rPr>
                <w:t>二、部门资金收支情况</w:t>
              </w:r>
            </w:sdtContent>
          </w:sdt>
          <w:r>
            <w:rPr>
              <w:rFonts w:ascii="Times New Roman" w:hAnsi="Times New Roman" w:eastAsia="仿宋" w:cs="Times New Roman"/>
              <w:sz w:val="28"/>
              <w:szCs w:val="28"/>
            </w:rPr>
            <w:tab/>
          </w:r>
          <w:bookmarkStart w:id="32" w:name="_Toc276432058_WPSOffice_Level2Page"/>
          <w:r>
            <w:rPr>
              <w:rFonts w:ascii="Times New Roman" w:hAnsi="Times New Roman" w:eastAsia="仿宋" w:cs="Times New Roman"/>
              <w:sz w:val="28"/>
              <w:szCs w:val="28"/>
            </w:rPr>
            <w:t>19</w:t>
          </w:r>
          <w:bookmarkEnd w:id="32"/>
          <w:r>
            <w:rPr>
              <w:rFonts w:ascii="Times New Roman" w:hAnsi="Times New Roman" w:eastAsia="仿宋" w:cs="Times New Roman"/>
              <w:sz w:val="28"/>
              <w:szCs w:val="28"/>
            </w:rPr>
            <w:fldChar w:fldCharType="end"/>
          </w:r>
        </w:p>
        <w:p>
          <w:pPr>
            <w:pStyle w:val="52"/>
            <w:tabs>
              <w:tab w:val="right" w:leader="dot" w:pos="8306"/>
            </w:tabs>
            <w:spacing w:line="576" w:lineRule="exact"/>
            <w:ind w:left="420"/>
            <w:rPr>
              <w:rFonts w:ascii="Times New Roman" w:hAnsi="Times New Roman" w:eastAsia="仿宋" w:cs="Times New Roman"/>
              <w:sz w:val="28"/>
              <w:szCs w:val="28"/>
            </w:rPr>
          </w:pPr>
          <w:r>
            <w:fldChar w:fldCharType="begin"/>
          </w:r>
          <w:r>
            <w:instrText xml:space="preserve"> HYPERLINK \l "_Toc393150069_WPSOffice_Level2" </w:instrText>
          </w:r>
          <w:r>
            <w:fldChar w:fldCharType="separate"/>
          </w:r>
          <w:sdt>
            <w:sdtPr>
              <w:rPr>
                <w:rFonts w:ascii="Times New Roman" w:hAnsi="Times New Roman" w:eastAsia="仿宋" w:cs="Times New Roman"/>
                <w:kern w:val="2"/>
                <w:sz w:val="28"/>
                <w:szCs w:val="28"/>
              </w:rPr>
              <w:id w:val="388848188"/>
              <w:placeholder>
                <w:docPart w:val="{698d96c8-ecff-4b2f-9d37-c547b4d0c013}"/>
              </w:placeholder>
            </w:sdtPr>
            <w:sdtEndPr>
              <w:rPr>
                <w:rFonts w:ascii="Times New Roman" w:hAnsi="Times New Roman" w:eastAsia="仿宋" w:cs="Times New Roman"/>
                <w:kern w:val="2"/>
                <w:sz w:val="28"/>
                <w:szCs w:val="28"/>
              </w:rPr>
            </w:sdtEndPr>
            <w:sdtContent>
              <w:r>
                <w:rPr>
                  <w:rFonts w:ascii="Times New Roman" w:hAnsi="Times New Roman" w:eastAsia="仿宋" w:cs="Times New Roman"/>
                  <w:sz w:val="28"/>
                  <w:szCs w:val="28"/>
                </w:rPr>
                <w:t>三、部门整体绩效分析</w:t>
              </w:r>
            </w:sdtContent>
          </w:sdt>
          <w:r>
            <w:rPr>
              <w:rFonts w:ascii="Times New Roman" w:hAnsi="Times New Roman" w:eastAsia="仿宋" w:cs="Times New Roman"/>
              <w:sz w:val="28"/>
              <w:szCs w:val="28"/>
            </w:rPr>
            <w:tab/>
          </w:r>
          <w:bookmarkStart w:id="33" w:name="_Toc393150069_WPSOffice_Level2Page"/>
          <w:r>
            <w:rPr>
              <w:rFonts w:ascii="Times New Roman" w:hAnsi="Times New Roman" w:eastAsia="仿宋" w:cs="Times New Roman"/>
              <w:sz w:val="28"/>
              <w:szCs w:val="28"/>
            </w:rPr>
            <w:t>21</w:t>
          </w:r>
          <w:bookmarkEnd w:id="33"/>
          <w:r>
            <w:rPr>
              <w:rFonts w:ascii="Times New Roman" w:hAnsi="Times New Roman" w:eastAsia="仿宋" w:cs="Times New Roman"/>
              <w:sz w:val="28"/>
              <w:szCs w:val="28"/>
            </w:rPr>
            <w:fldChar w:fldCharType="end"/>
          </w:r>
        </w:p>
        <w:p>
          <w:pPr>
            <w:pStyle w:val="52"/>
            <w:tabs>
              <w:tab w:val="right" w:leader="dot" w:pos="8306"/>
            </w:tabs>
            <w:spacing w:line="576" w:lineRule="exact"/>
            <w:ind w:left="420"/>
            <w:rPr>
              <w:rFonts w:ascii="Times New Roman" w:hAnsi="Times New Roman" w:eastAsia="仿宋" w:cs="Times New Roman"/>
              <w:sz w:val="28"/>
              <w:szCs w:val="28"/>
            </w:rPr>
          </w:pPr>
          <w:r>
            <w:fldChar w:fldCharType="begin"/>
          </w:r>
          <w:r>
            <w:instrText xml:space="preserve"> HYPERLINK \l "_Toc65613599_WPSOffice_Level2" </w:instrText>
          </w:r>
          <w:r>
            <w:fldChar w:fldCharType="separate"/>
          </w:r>
          <w:sdt>
            <w:sdtPr>
              <w:rPr>
                <w:rFonts w:ascii="Times New Roman" w:hAnsi="Times New Roman" w:eastAsia="仿宋" w:cs="Times New Roman"/>
                <w:kern w:val="2"/>
                <w:sz w:val="28"/>
                <w:szCs w:val="28"/>
              </w:rPr>
              <w:id w:val="368658373"/>
              <w:placeholder>
                <w:docPart w:val="{452f4207-0dd9-4e3b-870d-5bccbbae07d4}"/>
              </w:placeholder>
            </w:sdtPr>
            <w:sdtEndPr>
              <w:rPr>
                <w:rFonts w:ascii="Times New Roman" w:hAnsi="Times New Roman" w:eastAsia="仿宋" w:cs="Times New Roman"/>
                <w:kern w:val="2"/>
                <w:sz w:val="28"/>
                <w:szCs w:val="28"/>
              </w:rPr>
            </w:sdtEndPr>
            <w:sdtContent>
              <w:r>
                <w:rPr>
                  <w:rFonts w:ascii="Times New Roman" w:hAnsi="Times New Roman" w:eastAsia="仿宋" w:cs="Times New Roman"/>
                  <w:sz w:val="28"/>
                  <w:szCs w:val="28"/>
                </w:rPr>
                <w:t>四、评价结论及建议</w:t>
              </w:r>
            </w:sdtContent>
          </w:sdt>
          <w:r>
            <w:rPr>
              <w:rFonts w:ascii="Times New Roman" w:hAnsi="Times New Roman" w:eastAsia="仿宋" w:cs="Times New Roman"/>
              <w:sz w:val="28"/>
              <w:szCs w:val="28"/>
            </w:rPr>
            <w:tab/>
          </w:r>
          <w:bookmarkStart w:id="34" w:name="_Toc65613599_WPSOffice_Level2Page"/>
          <w:r>
            <w:rPr>
              <w:rFonts w:ascii="Times New Roman" w:hAnsi="Times New Roman" w:eastAsia="仿宋" w:cs="Times New Roman"/>
              <w:sz w:val="28"/>
              <w:szCs w:val="28"/>
            </w:rPr>
            <w:t>23</w:t>
          </w:r>
          <w:bookmarkEnd w:id="34"/>
          <w:r>
            <w:rPr>
              <w:rFonts w:ascii="Times New Roman" w:hAnsi="Times New Roman" w:eastAsia="仿宋" w:cs="Times New Roman"/>
              <w:sz w:val="28"/>
              <w:szCs w:val="28"/>
            </w:rPr>
            <w:fldChar w:fldCharType="end"/>
          </w:r>
        </w:p>
        <w:p>
          <w:pPr>
            <w:pStyle w:val="52"/>
            <w:tabs>
              <w:tab w:val="right" w:leader="dot" w:pos="8306"/>
            </w:tabs>
            <w:spacing w:line="576" w:lineRule="exact"/>
            <w:ind w:left="420"/>
            <w:rPr>
              <w:rFonts w:ascii="Times New Roman" w:hAnsi="Times New Roman" w:eastAsia="仿宋" w:cs="Times New Roman"/>
              <w:sz w:val="28"/>
              <w:szCs w:val="28"/>
            </w:rPr>
          </w:pPr>
          <w:sdt>
            <w:sdtPr>
              <w:rPr>
                <w:rFonts w:ascii="Times New Roman" w:hAnsi="Times New Roman" w:eastAsia="仿宋" w:cs="Times New Roman"/>
                <w:kern w:val="2"/>
                <w:sz w:val="28"/>
                <w:szCs w:val="28"/>
              </w:rPr>
              <w:id w:val="-1744569943"/>
              <w:placeholder>
                <w:docPart w:val="{4b3dcb39-fda6-4451-8c23-ee839a340930}"/>
              </w:placeholder>
            </w:sdtPr>
            <w:sdtEndPr>
              <w:rPr>
                <w:rFonts w:ascii="Times New Roman" w:hAnsi="Times New Roman" w:eastAsia="仿宋" w:cs="Times New Roman"/>
                <w:kern w:val="2"/>
                <w:sz w:val="28"/>
                <w:szCs w:val="28"/>
              </w:rPr>
            </w:sdtEndPr>
            <w:sdtContent>
              <w:r>
                <w:rPr>
                  <w:rFonts w:ascii="Times New Roman" w:hAnsi="Times New Roman" w:eastAsia="仿宋" w:cs="Times New Roman"/>
                  <w:sz w:val="28"/>
                  <w:szCs w:val="28"/>
                </w:rPr>
                <w:t>攀枝花市档案馆</w:t>
              </w:r>
            </w:sdtContent>
          </w:sdt>
          <w:r>
            <w:fldChar w:fldCharType="begin"/>
          </w:r>
          <w:r>
            <w:instrText xml:space="preserve"> HYPERLINK \l "_Toc421487877_WPSOffice_Level2" </w:instrText>
          </w:r>
          <w:r>
            <w:fldChar w:fldCharType="separate"/>
          </w:r>
          <w:sdt>
            <w:sdtPr>
              <w:rPr>
                <w:rFonts w:ascii="Times New Roman" w:hAnsi="Times New Roman" w:eastAsia="仿宋" w:cs="Times New Roman"/>
                <w:kern w:val="2"/>
                <w:sz w:val="28"/>
                <w:szCs w:val="28"/>
              </w:rPr>
              <w:id w:val="1072394983"/>
              <w:placeholder>
                <w:docPart w:val="{b2f76f11-682c-4d96-8886-97a4d241b911}"/>
              </w:placeholder>
            </w:sdtPr>
            <w:sdtEndPr>
              <w:rPr>
                <w:rFonts w:ascii="Times New Roman" w:hAnsi="Times New Roman" w:eastAsia="仿宋" w:cs="Times New Roman"/>
                <w:kern w:val="2"/>
                <w:sz w:val="28"/>
                <w:szCs w:val="28"/>
              </w:rPr>
            </w:sdtEndPr>
            <w:sdtContent>
              <w:r>
                <w:rPr>
                  <w:rFonts w:ascii="Times New Roman" w:hAnsi="Times New Roman" w:eastAsia="仿宋" w:cs="Times New Roman"/>
                  <w:sz w:val="28"/>
                  <w:szCs w:val="28"/>
                </w:rPr>
                <w:t>2023年市级专项资金预算项目绩效自评报告</w:t>
              </w:r>
            </w:sdtContent>
          </w:sdt>
          <w:r>
            <w:fldChar w:fldCharType="end"/>
          </w:r>
        </w:p>
        <w:p>
          <w:pPr>
            <w:pStyle w:val="52"/>
            <w:tabs>
              <w:tab w:val="right" w:leader="dot" w:pos="8306"/>
            </w:tabs>
            <w:spacing w:line="576" w:lineRule="exact"/>
            <w:ind w:left="420"/>
            <w:rPr>
              <w:rFonts w:ascii="Times New Roman" w:hAnsi="Times New Roman" w:eastAsia="仿宋" w:cs="Times New Roman"/>
              <w:sz w:val="28"/>
              <w:szCs w:val="28"/>
            </w:rPr>
          </w:pPr>
          <w:r>
            <w:fldChar w:fldCharType="begin"/>
          </w:r>
          <w:r>
            <w:instrText xml:space="preserve"> HYPERLINK \l "_Toc609127067_WPSOffice_Level2" </w:instrText>
          </w:r>
          <w:r>
            <w:fldChar w:fldCharType="separate"/>
          </w:r>
          <w:sdt>
            <w:sdtPr>
              <w:rPr>
                <w:rFonts w:ascii="Times New Roman" w:hAnsi="Times New Roman" w:eastAsia="仿宋" w:cs="Times New Roman"/>
                <w:kern w:val="2"/>
                <w:sz w:val="28"/>
                <w:szCs w:val="28"/>
              </w:rPr>
              <w:id w:val="1817755044"/>
              <w:placeholder>
                <w:docPart w:val="{23d2af1c-2853-49d2-8c97-8c93171d50e6}"/>
              </w:placeholder>
            </w:sdtPr>
            <w:sdtEndPr>
              <w:rPr>
                <w:rFonts w:ascii="Times New Roman" w:hAnsi="Times New Roman" w:eastAsia="仿宋" w:cs="Times New Roman"/>
                <w:kern w:val="2"/>
                <w:sz w:val="28"/>
                <w:szCs w:val="28"/>
              </w:rPr>
            </w:sdtEndPr>
            <w:sdtContent>
              <w:r>
                <w:rPr>
                  <w:rFonts w:ascii="Times New Roman" w:hAnsi="Times New Roman" w:eastAsia="仿宋" w:cs="Times New Roman"/>
                  <w:sz w:val="28"/>
                  <w:szCs w:val="28"/>
                </w:rPr>
                <w:t>（市档案馆搬迁项目）</w:t>
              </w:r>
            </w:sdtContent>
          </w:sdt>
          <w:r>
            <w:rPr>
              <w:rFonts w:ascii="Times New Roman" w:hAnsi="Times New Roman" w:eastAsia="仿宋" w:cs="Times New Roman"/>
              <w:sz w:val="28"/>
              <w:szCs w:val="28"/>
            </w:rPr>
            <w:tab/>
          </w:r>
          <w:bookmarkStart w:id="35" w:name="_Toc609127067_WPSOffice_Level2Page"/>
          <w:r>
            <w:rPr>
              <w:rFonts w:ascii="Times New Roman" w:hAnsi="Times New Roman" w:eastAsia="仿宋" w:cs="Times New Roman"/>
              <w:sz w:val="28"/>
              <w:szCs w:val="28"/>
            </w:rPr>
            <w:t>25</w:t>
          </w:r>
          <w:bookmarkEnd w:id="35"/>
          <w:r>
            <w:rPr>
              <w:rFonts w:ascii="Times New Roman" w:hAnsi="Times New Roman" w:eastAsia="仿宋" w:cs="Times New Roman"/>
              <w:sz w:val="28"/>
              <w:szCs w:val="28"/>
            </w:rPr>
            <w:fldChar w:fldCharType="end"/>
          </w:r>
        </w:p>
        <w:p>
          <w:pPr>
            <w:pStyle w:val="52"/>
            <w:tabs>
              <w:tab w:val="right" w:leader="dot" w:pos="8306"/>
            </w:tabs>
            <w:spacing w:line="576" w:lineRule="exact"/>
            <w:ind w:left="420"/>
            <w:rPr>
              <w:rFonts w:ascii="Times New Roman" w:hAnsi="Times New Roman" w:eastAsia="仿宋" w:cs="Times New Roman"/>
              <w:sz w:val="28"/>
              <w:szCs w:val="28"/>
            </w:rPr>
          </w:pPr>
          <w:r>
            <w:fldChar w:fldCharType="begin"/>
          </w:r>
          <w:r>
            <w:instrText xml:space="preserve"> HYPERLINK \l "_Toc1428461705_WPSOffice_Level2" </w:instrText>
          </w:r>
          <w:r>
            <w:fldChar w:fldCharType="separate"/>
          </w:r>
          <w:sdt>
            <w:sdtPr>
              <w:rPr>
                <w:rFonts w:ascii="Times New Roman" w:hAnsi="Times New Roman" w:eastAsia="仿宋" w:cs="Times New Roman"/>
                <w:kern w:val="2"/>
                <w:sz w:val="28"/>
                <w:szCs w:val="28"/>
              </w:rPr>
              <w:id w:val="-1626531813"/>
              <w:placeholder>
                <w:docPart w:val="{0017edb1-b8ab-4daa-885b-6df5013313b3}"/>
              </w:placeholder>
            </w:sdtPr>
            <w:sdtEndPr>
              <w:rPr>
                <w:rFonts w:ascii="Times New Roman" w:hAnsi="Times New Roman" w:eastAsia="仿宋" w:cs="Times New Roman"/>
                <w:kern w:val="2"/>
                <w:sz w:val="28"/>
                <w:szCs w:val="28"/>
              </w:rPr>
            </w:sdtEndPr>
            <w:sdtContent>
              <w:r>
                <w:rPr>
                  <w:rFonts w:ascii="Times New Roman" w:hAnsi="Times New Roman" w:eastAsia="仿宋" w:cs="Times New Roman"/>
                  <w:sz w:val="28"/>
                  <w:szCs w:val="28"/>
                </w:rPr>
                <w:t>一、项目概况</w:t>
              </w:r>
            </w:sdtContent>
          </w:sdt>
          <w:r>
            <w:rPr>
              <w:rFonts w:ascii="Times New Roman" w:hAnsi="Times New Roman" w:eastAsia="仿宋" w:cs="Times New Roman"/>
              <w:sz w:val="28"/>
              <w:szCs w:val="28"/>
            </w:rPr>
            <w:tab/>
          </w:r>
          <w:bookmarkStart w:id="36" w:name="_Toc1428461705_WPSOffice_Level2Page"/>
          <w:r>
            <w:rPr>
              <w:rFonts w:ascii="Times New Roman" w:hAnsi="Times New Roman" w:eastAsia="仿宋" w:cs="Times New Roman"/>
              <w:sz w:val="28"/>
              <w:szCs w:val="28"/>
            </w:rPr>
            <w:t>25</w:t>
          </w:r>
          <w:bookmarkEnd w:id="36"/>
          <w:r>
            <w:rPr>
              <w:rFonts w:ascii="Times New Roman" w:hAnsi="Times New Roman" w:eastAsia="仿宋" w:cs="Times New Roman"/>
              <w:sz w:val="28"/>
              <w:szCs w:val="28"/>
            </w:rPr>
            <w:fldChar w:fldCharType="end"/>
          </w:r>
        </w:p>
        <w:p>
          <w:pPr>
            <w:pStyle w:val="52"/>
            <w:tabs>
              <w:tab w:val="right" w:leader="dot" w:pos="8306"/>
            </w:tabs>
            <w:spacing w:line="576" w:lineRule="exact"/>
            <w:ind w:left="420"/>
            <w:rPr>
              <w:rFonts w:ascii="Times New Roman" w:hAnsi="Times New Roman" w:eastAsia="仿宋" w:cs="Times New Roman"/>
              <w:sz w:val="28"/>
              <w:szCs w:val="28"/>
            </w:rPr>
          </w:pPr>
          <w:r>
            <w:fldChar w:fldCharType="begin"/>
          </w:r>
          <w:r>
            <w:instrText xml:space="preserve"> HYPERLINK \l "_Toc1263014758_WPSOffice_Level2" </w:instrText>
          </w:r>
          <w:r>
            <w:fldChar w:fldCharType="separate"/>
          </w:r>
          <w:sdt>
            <w:sdtPr>
              <w:rPr>
                <w:rFonts w:ascii="Times New Roman" w:hAnsi="Times New Roman" w:eastAsia="仿宋" w:cs="Times New Roman"/>
                <w:kern w:val="2"/>
                <w:sz w:val="28"/>
                <w:szCs w:val="28"/>
              </w:rPr>
              <w:id w:val="478803149"/>
              <w:placeholder>
                <w:docPart w:val="{11491416-88c2-437b-a787-eb2ab63e033b}"/>
              </w:placeholder>
            </w:sdtPr>
            <w:sdtEndPr>
              <w:rPr>
                <w:rFonts w:ascii="Times New Roman" w:hAnsi="Times New Roman" w:eastAsia="仿宋" w:cs="Times New Roman"/>
                <w:kern w:val="2"/>
                <w:sz w:val="28"/>
                <w:szCs w:val="28"/>
              </w:rPr>
            </w:sdtEndPr>
            <w:sdtContent>
              <w:r>
                <w:rPr>
                  <w:rFonts w:ascii="Times New Roman" w:hAnsi="Times New Roman" w:eastAsia="仿宋" w:cs="Times New Roman"/>
                  <w:sz w:val="28"/>
                  <w:szCs w:val="28"/>
                </w:rPr>
                <w:t>二、项目资金申报及使用情况</w:t>
              </w:r>
            </w:sdtContent>
          </w:sdt>
          <w:r>
            <w:rPr>
              <w:rFonts w:ascii="Times New Roman" w:hAnsi="Times New Roman" w:eastAsia="仿宋" w:cs="Times New Roman"/>
              <w:sz w:val="28"/>
              <w:szCs w:val="28"/>
            </w:rPr>
            <w:tab/>
          </w:r>
          <w:bookmarkStart w:id="37" w:name="_Toc1263014758_WPSOffice_Level2Page"/>
          <w:r>
            <w:rPr>
              <w:rFonts w:ascii="Times New Roman" w:hAnsi="Times New Roman" w:eastAsia="仿宋" w:cs="Times New Roman"/>
              <w:sz w:val="28"/>
              <w:szCs w:val="28"/>
            </w:rPr>
            <w:t>28</w:t>
          </w:r>
          <w:bookmarkEnd w:id="37"/>
          <w:r>
            <w:rPr>
              <w:rFonts w:ascii="Times New Roman" w:hAnsi="Times New Roman" w:eastAsia="仿宋" w:cs="Times New Roman"/>
              <w:sz w:val="28"/>
              <w:szCs w:val="28"/>
            </w:rPr>
            <w:fldChar w:fldCharType="end"/>
          </w:r>
        </w:p>
        <w:p>
          <w:pPr>
            <w:pStyle w:val="52"/>
            <w:tabs>
              <w:tab w:val="right" w:leader="dot" w:pos="8306"/>
            </w:tabs>
            <w:spacing w:line="576" w:lineRule="exact"/>
            <w:ind w:left="420"/>
            <w:rPr>
              <w:rFonts w:ascii="Times New Roman" w:hAnsi="Times New Roman" w:eastAsia="仿宋" w:cs="Times New Roman"/>
              <w:sz w:val="28"/>
              <w:szCs w:val="28"/>
            </w:rPr>
          </w:pPr>
          <w:r>
            <w:fldChar w:fldCharType="begin"/>
          </w:r>
          <w:r>
            <w:instrText xml:space="preserve"> HYPERLINK \l "_Toc57478644_WPSOffice_Level2" </w:instrText>
          </w:r>
          <w:r>
            <w:fldChar w:fldCharType="separate"/>
          </w:r>
          <w:sdt>
            <w:sdtPr>
              <w:rPr>
                <w:rFonts w:ascii="Times New Roman" w:hAnsi="Times New Roman" w:eastAsia="仿宋" w:cs="Times New Roman"/>
                <w:kern w:val="2"/>
                <w:sz w:val="28"/>
                <w:szCs w:val="28"/>
              </w:rPr>
              <w:id w:val="-1024087847"/>
              <w:placeholder>
                <w:docPart w:val="{088cd937-f6bb-4d80-bd47-c763b59d9a8d}"/>
              </w:placeholder>
            </w:sdtPr>
            <w:sdtEndPr>
              <w:rPr>
                <w:rFonts w:ascii="Times New Roman" w:hAnsi="Times New Roman" w:eastAsia="仿宋" w:cs="Times New Roman"/>
                <w:kern w:val="2"/>
                <w:sz w:val="28"/>
                <w:szCs w:val="28"/>
              </w:rPr>
            </w:sdtEndPr>
            <w:sdtContent>
              <w:r>
                <w:rPr>
                  <w:rFonts w:ascii="Times New Roman" w:hAnsi="Times New Roman" w:eastAsia="仿宋" w:cs="Times New Roman"/>
                  <w:sz w:val="28"/>
                  <w:szCs w:val="28"/>
                </w:rPr>
                <w:t>三、项目实施及管理情况</w:t>
              </w:r>
            </w:sdtContent>
          </w:sdt>
          <w:r>
            <w:rPr>
              <w:rFonts w:ascii="Times New Roman" w:hAnsi="Times New Roman" w:eastAsia="仿宋" w:cs="Times New Roman"/>
              <w:sz w:val="28"/>
              <w:szCs w:val="28"/>
            </w:rPr>
            <w:tab/>
          </w:r>
          <w:bookmarkStart w:id="38" w:name="_Toc57478644_WPSOffice_Level2Page"/>
          <w:r>
            <w:rPr>
              <w:rFonts w:ascii="Times New Roman" w:hAnsi="Times New Roman" w:eastAsia="仿宋" w:cs="Times New Roman"/>
              <w:sz w:val="28"/>
              <w:szCs w:val="28"/>
            </w:rPr>
            <w:t>29</w:t>
          </w:r>
          <w:bookmarkEnd w:id="38"/>
          <w:r>
            <w:rPr>
              <w:rFonts w:ascii="Times New Roman" w:hAnsi="Times New Roman" w:eastAsia="仿宋" w:cs="Times New Roman"/>
              <w:sz w:val="28"/>
              <w:szCs w:val="28"/>
            </w:rPr>
            <w:fldChar w:fldCharType="end"/>
          </w:r>
        </w:p>
        <w:p>
          <w:pPr>
            <w:pStyle w:val="52"/>
            <w:tabs>
              <w:tab w:val="right" w:leader="dot" w:pos="8306"/>
            </w:tabs>
            <w:spacing w:line="576" w:lineRule="exact"/>
            <w:ind w:left="420"/>
            <w:rPr>
              <w:rFonts w:ascii="Times New Roman" w:hAnsi="Times New Roman" w:eastAsia="仿宋" w:cs="Times New Roman"/>
              <w:sz w:val="28"/>
              <w:szCs w:val="28"/>
            </w:rPr>
          </w:pPr>
          <w:r>
            <w:fldChar w:fldCharType="begin"/>
          </w:r>
          <w:r>
            <w:instrText xml:space="preserve"> HYPERLINK \l "_Toc1573452767_WPSOffice_Level2" </w:instrText>
          </w:r>
          <w:r>
            <w:fldChar w:fldCharType="separate"/>
          </w:r>
          <w:sdt>
            <w:sdtPr>
              <w:rPr>
                <w:rFonts w:ascii="Times New Roman" w:hAnsi="Times New Roman" w:eastAsia="仿宋" w:cs="Times New Roman"/>
                <w:kern w:val="2"/>
                <w:sz w:val="28"/>
                <w:szCs w:val="28"/>
              </w:rPr>
              <w:id w:val="-161544522"/>
              <w:placeholder>
                <w:docPart w:val="{01f70842-c26a-42b1-9257-da3202c7baaf}"/>
              </w:placeholder>
            </w:sdtPr>
            <w:sdtEndPr>
              <w:rPr>
                <w:rFonts w:ascii="Times New Roman" w:hAnsi="Times New Roman" w:eastAsia="仿宋" w:cs="Times New Roman"/>
                <w:kern w:val="2"/>
                <w:sz w:val="28"/>
                <w:szCs w:val="28"/>
              </w:rPr>
            </w:sdtEndPr>
            <w:sdtContent>
              <w:r>
                <w:rPr>
                  <w:rFonts w:ascii="Times New Roman" w:hAnsi="Times New Roman" w:eastAsia="仿宋" w:cs="Times New Roman"/>
                  <w:sz w:val="28"/>
                  <w:szCs w:val="28"/>
                </w:rPr>
                <w:t>四、项目绩效情况</w:t>
              </w:r>
            </w:sdtContent>
          </w:sdt>
          <w:r>
            <w:rPr>
              <w:rFonts w:ascii="Times New Roman" w:hAnsi="Times New Roman" w:eastAsia="仿宋" w:cs="Times New Roman"/>
              <w:sz w:val="28"/>
              <w:szCs w:val="28"/>
            </w:rPr>
            <w:tab/>
          </w:r>
          <w:bookmarkStart w:id="39" w:name="_Toc1573452767_WPSOffice_Level2Page"/>
          <w:r>
            <w:rPr>
              <w:rFonts w:ascii="Times New Roman" w:hAnsi="Times New Roman" w:eastAsia="仿宋" w:cs="Times New Roman"/>
              <w:sz w:val="28"/>
              <w:szCs w:val="28"/>
            </w:rPr>
            <w:t>30</w:t>
          </w:r>
          <w:bookmarkEnd w:id="39"/>
          <w:r>
            <w:rPr>
              <w:rFonts w:ascii="Times New Roman" w:hAnsi="Times New Roman" w:eastAsia="仿宋" w:cs="Times New Roman"/>
              <w:sz w:val="28"/>
              <w:szCs w:val="28"/>
            </w:rPr>
            <w:fldChar w:fldCharType="end"/>
          </w:r>
        </w:p>
        <w:p>
          <w:pPr>
            <w:pStyle w:val="52"/>
            <w:tabs>
              <w:tab w:val="right" w:leader="dot" w:pos="8306"/>
            </w:tabs>
            <w:spacing w:line="576" w:lineRule="exact"/>
            <w:ind w:left="420"/>
            <w:rPr>
              <w:rFonts w:ascii="Times New Roman" w:hAnsi="Times New Roman" w:eastAsia="仿宋" w:cs="Times New Roman"/>
              <w:sz w:val="28"/>
              <w:szCs w:val="28"/>
            </w:rPr>
          </w:pPr>
          <w:r>
            <w:fldChar w:fldCharType="begin"/>
          </w:r>
          <w:r>
            <w:instrText xml:space="preserve"> HYPERLINK \l "_Toc422817910_WPSOffice_Level2" </w:instrText>
          </w:r>
          <w:r>
            <w:fldChar w:fldCharType="separate"/>
          </w:r>
          <w:sdt>
            <w:sdtPr>
              <w:rPr>
                <w:rFonts w:ascii="Times New Roman" w:hAnsi="Times New Roman" w:eastAsia="仿宋" w:cs="Times New Roman"/>
                <w:kern w:val="2"/>
                <w:sz w:val="28"/>
                <w:szCs w:val="28"/>
              </w:rPr>
              <w:id w:val="-1351952128"/>
              <w:placeholder>
                <w:docPart w:val="{ca4f9e77-74d5-4586-9f6b-8c111c1ae6a5}"/>
              </w:placeholder>
            </w:sdtPr>
            <w:sdtEndPr>
              <w:rPr>
                <w:rFonts w:ascii="Times New Roman" w:hAnsi="Times New Roman" w:eastAsia="仿宋" w:cs="Times New Roman"/>
                <w:kern w:val="2"/>
                <w:sz w:val="28"/>
                <w:szCs w:val="28"/>
              </w:rPr>
            </w:sdtEndPr>
            <w:sdtContent>
              <w:r>
                <w:rPr>
                  <w:rFonts w:ascii="Times New Roman" w:hAnsi="Times New Roman" w:eastAsia="仿宋" w:cs="Times New Roman"/>
                  <w:sz w:val="28"/>
                  <w:szCs w:val="28"/>
                </w:rPr>
                <w:t>五、评价结论及建议</w:t>
              </w:r>
            </w:sdtContent>
          </w:sdt>
          <w:r>
            <w:rPr>
              <w:rFonts w:ascii="Times New Roman" w:hAnsi="Times New Roman" w:eastAsia="仿宋" w:cs="Times New Roman"/>
              <w:sz w:val="28"/>
              <w:szCs w:val="28"/>
            </w:rPr>
            <w:tab/>
          </w:r>
          <w:bookmarkStart w:id="40" w:name="_Toc422817910_WPSOffice_Level2Page"/>
          <w:r>
            <w:rPr>
              <w:rFonts w:ascii="Times New Roman" w:hAnsi="Times New Roman" w:eastAsia="仿宋" w:cs="Times New Roman"/>
              <w:sz w:val="28"/>
              <w:szCs w:val="28"/>
            </w:rPr>
            <w:t>31</w:t>
          </w:r>
          <w:bookmarkEnd w:id="40"/>
          <w:r>
            <w:rPr>
              <w:rFonts w:ascii="Times New Roman" w:hAnsi="Times New Roman" w:eastAsia="仿宋" w:cs="Times New Roman"/>
              <w:sz w:val="28"/>
              <w:szCs w:val="28"/>
            </w:rPr>
            <w:fldChar w:fldCharType="end"/>
          </w:r>
        </w:p>
        <w:p>
          <w:pPr>
            <w:pStyle w:val="51"/>
            <w:tabs>
              <w:tab w:val="right" w:leader="dot" w:pos="8306"/>
            </w:tabs>
            <w:spacing w:line="576" w:lineRule="exact"/>
            <w:rPr>
              <w:rFonts w:ascii="Times New Roman" w:hAnsi="Times New Roman" w:eastAsia="仿宋" w:cs="Times New Roman"/>
              <w:sz w:val="28"/>
              <w:szCs w:val="28"/>
            </w:rPr>
          </w:pPr>
          <w:r>
            <w:fldChar w:fldCharType="begin"/>
          </w:r>
          <w:r>
            <w:instrText xml:space="preserve"> HYPERLINK \l "_Toc98558766_WPSOffice_Level1" </w:instrText>
          </w:r>
          <w:r>
            <w:fldChar w:fldCharType="separate"/>
          </w:r>
          <w:sdt>
            <w:sdtPr>
              <w:rPr>
                <w:rFonts w:ascii="Times New Roman" w:hAnsi="Times New Roman" w:eastAsia="仿宋" w:cs="Times New Roman"/>
                <w:b/>
                <w:bCs/>
                <w:kern w:val="2"/>
                <w:sz w:val="28"/>
                <w:szCs w:val="28"/>
              </w:rPr>
              <w:id w:val="900414820"/>
              <w:placeholder>
                <w:docPart w:val="{2c43ebb4-5cc5-4134-853c-36b852592f93}"/>
              </w:placeholder>
            </w:sdtPr>
            <w:sdtEndPr>
              <w:rPr>
                <w:rFonts w:ascii="Times New Roman" w:hAnsi="Times New Roman" w:eastAsia="仿宋" w:cs="Times New Roman"/>
                <w:b/>
                <w:bCs/>
                <w:kern w:val="2"/>
                <w:sz w:val="28"/>
                <w:szCs w:val="28"/>
              </w:rPr>
            </w:sdtEndPr>
            <w:sdtContent>
              <w:r>
                <w:rPr>
                  <w:rFonts w:ascii="Times New Roman" w:hAnsi="Times New Roman" w:eastAsia="仿宋" w:cs="Times New Roman"/>
                  <w:b/>
                  <w:bCs/>
                  <w:sz w:val="28"/>
                  <w:szCs w:val="28"/>
                </w:rPr>
                <w:t>第五部分 附表</w:t>
              </w:r>
            </w:sdtContent>
          </w:sdt>
          <w:r>
            <w:rPr>
              <w:rFonts w:ascii="Times New Roman" w:hAnsi="Times New Roman" w:eastAsia="仿宋" w:cs="Times New Roman"/>
              <w:b/>
              <w:bCs/>
              <w:sz w:val="28"/>
              <w:szCs w:val="28"/>
            </w:rPr>
            <w:tab/>
          </w:r>
          <w:bookmarkStart w:id="41" w:name="_Toc98558766_WPSOffice_Level1Page"/>
          <w:r>
            <w:rPr>
              <w:rFonts w:ascii="Times New Roman" w:hAnsi="Times New Roman" w:eastAsia="仿宋" w:cs="Times New Roman"/>
              <w:b/>
              <w:bCs/>
              <w:sz w:val="28"/>
              <w:szCs w:val="28"/>
            </w:rPr>
            <w:t>33</w:t>
          </w:r>
          <w:bookmarkEnd w:id="41"/>
          <w:r>
            <w:rPr>
              <w:rFonts w:ascii="Times New Roman" w:hAnsi="Times New Roman" w:eastAsia="仿宋" w:cs="Times New Roman"/>
              <w:b/>
              <w:bCs/>
              <w:sz w:val="28"/>
              <w:szCs w:val="28"/>
            </w:rPr>
            <w:fldChar w:fldCharType="end"/>
          </w:r>
        </w:p>
        <w:p>
          <w:pPr>
            <w:pStyle w:val="52"/>
            <w:tabs>
              <w:tab w:val="right" w:leader="dot" w:pos="8306"/>
            </w:tabs>
            <w:spacing w:line="576" w:lineRule="exact"/>
            <w:ind w:left="420"/>
            <w:rPr>
              <w:rFonts w:ascii="Times New Roman" w:hAnsi="Times New Roman" w:eastAsia="仿宋" w:cs="Times New Roman"/>
              <w:sz w:val="28"/>
              <w:szCs w:val="28"/>
            </w:rPr>
          </w:pPr>
          <w:r>
            <w:fldChar w:fldCharType="begin"/>
          </w:r>
          <w:r>
            <w:instrText xml:space="preserve"> HYPERLINK \l "_Toc1369660746_WPSOffice_Level2" </w:instrText>
          </w:r>
          <w:r>
            <w:fldChar w:fldCharType="separate"/>
          </w:r>
          <w:sdt>
            <w:sdtPr>
              <w:rPr>
                <w:rFonts w:ascii="Times New Roman" w:hAnsi="Times New Roman" w:eastAsia="仿宋" w:cs="Times New Roman"/>
                <w:kern w:val="2"/>
                <w:sz w:val="28"/>
                <w:szCs w:val="28"/>
              </w:rPr>
              <w:id w:val="1751542602"/>
              <w:placeholder>
                <w:docPart w:val="{f1a6fe3f-99fd-40c5-a3fb-9a667a3a1226}"/>
              </w:placeholder>
            </w:sdtPr>
            <w:sdtEndPr>
              <w:rPr>
                <w:rFonts w:ascii="Times New Roman" w:hAnsi="Times New Roman" w:eastAsia="仿宋" w:cs="Times New Roman"/>
                <w:kern w:val="2"/>
                <w:sz w:val="28"/>
                <w:szCs w:val="28"/>
              </w:rPr>
            </w:sdtEndPr>
            <w:sdtContent>
              <w:r>
                <w:rPr>
                  <w:rFonts w:ascii="Times New Roman" w:hAnsi="Times New Roman" w:eastAsia="仿宋" w:cs="Times New Roman"/>
                  <w:sz w:val="28"/>
                  <w:szCs w:val="28"/>
                </w:rPr>
                <w:t>一、收入支出决算总表</w:t>
              </w:r>
            </w:sdtContent>
          </w:sdt>
          <w:r>
            <w:rPr>
              <w:rFonts w:ascii="Times New Roman" w:hAnsi="Times New Roman" w:eastAsia="仿宋" w:cs="Times New Roman"/>
              <w:sz w:val="28"/>
              <w:szCs w:val="28"/>
            </w:rPr>
            <w:tab/>
          </w:r>
          <w:bookmarkStart w:id="42" w:name="_Toc1369660746_WPSOffice_Level2Page"/>
          <w:r>
            <w:rPr>
              <w:rFonts w:ascii="Times New Roman" w:hAnsi="Times New Roman" w:eastAsia="仿宋" w:cs="Times New Roman"/>
              <w:sz w:val="28"/>
              <w:szCs w:val="28"/>
            </w:rPr>
            <w:t>33</w:t>
          </w:r>
          <w:bookmarkEnd w:id="42"/>
          <w:r>
            <w:rPr>
              <w:rFonts w:ascii="Times New Roman" w:hAnsi="Times New Roman" w:eastAsia="仿宋" w:cs="Times New Roman"/>
              <w:sz w:val="28"/>
              <w:szCs w:val="28"/>
            </w:rPr>
            <w:fldChar w:fldCharType="end"/>
          </w:r>
        </w:p>
        <w:p>
          <w:pPr>
            <w:pStyle w:val="52"/>
            <w:tabs>
              <w:tab w:val="right" w:leader="dot" w:pos="8306"/>
            </w:tabs>
            <w:spacing w:line="576" w:lineRule="exact"/>
            <w:ind w:left="420"/>
            <w:rPr>
              <w:rFonts w:ascii="Times New Roman" w:hAnsi="Times New Roman" w:eastAsia="仿宋" w:cs="Times New Roman"/>
              <w:sz w:val="28"/>
              <w:szCs w:val="28"/>
            </w:rPr>
          </w:pPr>
          <w:r>
            <w:fldChar w:fldCharType="begin"/>
          </w:r>
          <w:r>
            <w:instrText xml:space="preserve"> HYPERLINK \l "_Toc156700017_WPSOffice_Level2" </w:instrText>
          </w:r>
          <w:r>
            <w:fldChar w:fldCharType="separate"/>
          </w:r>
          <w:sdt>
            <w:sdtPr>
              <w:rPr>
                <w:rFonts w:ascii="Times New Roman" w:hAnsi="Times New Roman" w:eastAsia="仿宋" w:cs="Times New Roman"/>
                <w:kern w:val="2"/>
                <w:sz w:val="28"/>
                <w:szCs w:val="28"/>
              </w:rPr>
              <w:id w:val="1089115050"/>
              <w:placeholder>
                <w:docPart w:val="{ed5e20be-94c0-4516-9e09-1ffd6d4edcb5}"/>
              </w:placeholder>
            </w:sdtPr>
            <w:sdtEndPr>
              <w:rPr>
                <w:rFonts w:ascii="Times New Roman" w:hAnsi="Times New Roman" w:eastAsia="仿宋" w:cs="Times New Roman"/>
                <w:kern w:val="2"/>
                <w:sz w:val="28"/>
                <w:szCs w:val="28"/>
              </w:rPr>
            </w:sdtEndPr>
            <w:sdtContent>
              <w:r>
                <w:rPr>
                  <w:rFonts w:ascii="Times New Roman" w:hAnsi="Times New Roman" w:eastAsia="仿宋" w:cs="Times New Roman"/>
                  <w:sz w:val="28"/>
                  <w:szCs w:val="28"/>
                </w:rPr>
                <w:t>二、收入决算表</w:t>
              </w:r>
            </w:sdtContent>
          </w:sdt>
          <w:r>
            <w:rPr>
              <w:rFonts w:ascii="Times New Roman" w:hAnsi="Times New Roman" w:eastAsia="仿宋" w:cs="Times New Roman"/>
              <w:sz w:val="28"/>
              <w:szCs w:val="28"/>
            </w:rPr>
            <w:tab/>
          </w:r>
          <w:bookmarkStart w:id="43" w:name="_Toc156700017_WPSOffice_Level2Page"/>
          <w:r>
            <w:rPr>
              <w:rFonts w:ascii="Times New Roman" w:hAnsi="Times New Roman" w:eastAsia="仿宋" w:cs="Times New Roman"/>
              <w:sz w:val="28"/>
              <w:szCs w:val="28"/>
            </w:rPr>
            <w:t>33</w:t>
          </w:r>
          <w:bookmarkEnd w:id="43"/>
          <w:r>
            <w:rPr>
              <w:rFonts w:ascii="Times New Roman" w:hAnsi="Times New Roman" w:eastAsia="仿宋" w:cs="Times New Roman"/>
              <w:sz w:val="28"/>
              <w:szCs w:val="28"/>
            </w:rPr>
            <w:fldChar w:fldCharType="end"/>
          </w:r>
        </w:p>
        <w:p>
          <w:pPr>
            <w:pStyle w:val="52"/>
            <w:tabs>
              <w:tab w:val="right" w:leader="dot" w:pos="8306"/>
            </w:tabs>
            <w:spacing w:line="576" w:lineRule="exact"/>
            <w:ind w:left="420"/>
            <w:rPr>
              <w:rFonts w:ascii="Times New Roman" w:hAnsi="Times New Roman" w:eastAsia="仿宋" w:cs="Times New Roman"/>
              <w:sz w:val="28"/>
              <w:szCs w:val="28"/>
            </w:rPr>
          </w:pPr>
          <w:r>
            <w:fldChar w:fldCharType="begin"/>
          </w:r>
          <w:r>
            <w:instrText xml:space="preserve"> HYPERLINK \l "_Toc1327624524_WPSOffice_Level2" </w:instrText>
          </w:r>
          <w:r>
            <w:fldChar w:fldCharType="separate"/>
          </w:r>
          <w:sdt>
            <w:sdtPr>
              <w:rPr>
                <w:rFonts w:ascii="Times New Roman" w:hAnsi="Times New Roman" w:eastAsia="仿宋" w:cs="Times New Roman"/>
                <w:kern w:val="2"/>
                <w:sz w:val="28"/>
                <w:szCs w:val="28"/>
              </w:rPr>
              <w:id w:val="1366796261"/>
              <w:placeholder>
                <w:docPart w:val="{4aa86e53-b936-4315-9af8-f8790b4729ad}"/>
              </w:placeholder>
            </w:sdtPr>
            <w:sdtEndPr>
              <w:rPr>
                <w:rFonts w:ascii="Times New Roman" w:hAnsi="Times New Roman" w:eastAsia="仿宋" w:cs="Times New Roman"/>
                <w:kern w:val="2"/>
                <w:sz w:val="28"/>
                <w:szCs w:val="28"/>
              </w:rPr>
            </w:sdtEndPr>
            <w:sdtContent>
              <w:r>
                <w:rPr>
                  <w:rFonts w:ascii="Times New Roman" w:hAnsi="Times New Roman" w:eastAsia="仿宋" w:cs="Times New Roman"/>
                  <w:sz w:val="28"/>
                  <w:szCs w:val="28"/>
                </w:rPr>
                <w:t>三、支出决算表</w:t>
              </w:r>
            </w:sdtContent>
          </w:sdt>
          <w:r>
            <w:rPr>
              <w:rFonts w:ascii="Times New Roman" w:hAnsi="Times New Roman" w:eastAsia="仿宋" w:cs="Times New Roman"/>
              <w:sz w:val="28"/>
              <w:szCs w:val="28"/>
            </w:rPr>
            <w:tab/>
          </w:r>
          <w:bookmarkStart w:id="44" w:name="_Toc1327624524_WPSOffice_Level2Page"/>
          <w:r>
            <w:rPr>
              <w:rFonts w:ascii="Times New Roman" w:hAnsi="Times New Roman" w:eastAsia="仿宋" w:cs="Times New Roman"/>
              <w:sz w:val="28"/>
              <w:szCs w:val="28"/>
            </w:rPr>
            <w:t>33</w:t>
          </w:r>
          <w:bookmarkEnd w:id="44"/>
          <w:r>
            <w:rPr>
              <w:rFonts w:ascii="Times New Roman" w:hAnsi="Times New Roman" w:eastAsia="仿宋" w:cs="Times New Roman"/>
              <w:sz w:val="28"/>
              <w:szCs w:val="28"/>
            </w:rPr>
            <w:fldChar w:fldCharType="end"/>
          </w:r>
        </w:p>
        <w:p>
          <w:pPr>
            <w:pStyle w:val="52"/>
            <w:tabs>
              <w:tab w:val="right" w:leader="dot" w:pos="8306"/>
            </w:tabs>
            <w:spacing w:line="576" w:lineRule="exact"/>
            <w:ind w:left="420"/>
            <w:rPr>
              <w:rFonts w:ascii="Times New Roman" w:hAnsi="Times New Roman" w:eastAsia="仿宋" w:cs="Times New Roman"/>
              <w:sz w:val="28"/>
              <w:szCs w:val="28"/>
            </w:rPr>
          </w:pPr>
          <w:r>
            <w:fldChar w:fldCharType="begin"/>
          </w:r>
          <w:r>
            <w:instrText xml:space="preserve"> HYPERLINK \l "_Toc1096678383_WPSOffice_Level2" </w:instrText>
          </w:r>
          <w:r>
            <w:fldChar w:fldCharType="separate"/>
          </w:r>
          <w:sdt>
            <w:sdtPr>
              <w:rPr>
                <w:rFonts w:ascii="Times New Roman" w:hAnsi="Times New Roman" w:eastAsia="仿宋" w:cs="Times New Roman"/>
                <w:kern w:val="2"/>
                <w:sz w:val="28"/>
                <w:szCs w:val="28"/>
              </w:rPr>
              <w:id w:val="1634131505"/>
              <w:placeholder>
                <w:docPart w:val="{e9f2db86-1b21-4167-998e-5218cddfd26c}"/>
              </w:placeholder>
            </w:sdtPr>
            <w:sdtEndPr>
              <w:rPr>
                <w:rFonts w:ascii="Times New Roman" w:hAnsi="Times New Roman" w:eastAsia="仿宋" w:cs="Times New Roman"/>
                <w:kern w:val="2"/>
                <w:sz w:val="28"/>
                <w:szCs w:val="28"/>
              </w:rPr>
            </w:sdtEndPr>
            <w:sdtContent>
              <w:r>
                <w:rPr>
                  <w:rFonts w:ascii="Times New Roman" w:hAnsi="Times New Roman" w:eastAsia="仿宋" w:cs="Times New Roman"/>
                  <w:sz w:val="28"/>
                  <w:szCs w:val="28"/>
                </w:rPr>
                <w:t>四、财政拨款收入支出决算总表</w:t>
              </w:r>
            </w:sdtContent>
          </w:sdt>
          <w:r>
            <w:rPr>
              <w:rFonts w:ascii="Times New Roman" w:hAnsi="Times New Roman" w:eastAsia="仿宋" w:cs="Times New Roman"/>
              <w:sz w:val="28"/>
              <w:szCs w:val="28"/>
            </w:rPr>
            <w:tab/>
          </w:r>
          <w:bookmarkStart w:id="45" w:name="_Toc1096678383_WPSOffice_Level2Page"/>
          <w:r>
            <w:rPr>
              <w:rFonts w:ascii="Times New Roman" w:hAnsi="Times New Roman" w:eastAsia="仿宋" w:cs="Times New Roman"/>
              <w:sz w:val="28"/>
              <w:szCs w:val="28"/>
            </w:rPr>
            <w:t>33</w:t>
          </w:r>
          <w:bookmarkEnd w:id="45"/>
          <w:r>
            <w:rPr>
              <w:rFonts w:ascii="Times New Roman" w:hAnsi="Times New Roman" w:eastAsia="仿宋" w:cs="Times New Roman"/>
              <w:sz w:val="28"/>
              <w:szCs w:val="28"/>
            </w:rPr>
            <w:fldChar w:fldCharType="end"/>
          </w:r>
        </w:p>
        <w:p>
          <w:pPr>
            <w:pStyle w:val="52"/>
            <w:tabs>
              <w:tab w:val="right" w:leader="dot" w:pos="8306"/>
            </w:tabs>
            <w:spacing w:line="576" w:lineRule="exact"/>
            <w:ind w:left="420"/>
            <w:rPr>
              <w:rFonts w:ascii="Times New Roman" w:hAnsi="Times New Roman" w:eastAsia="仿宋" w:cs="Times New Roman"/>
              <w:sz w:val="28"/>
              <w:szCs w:val="28"/>
            </w:rPr>
          </w:pPr>
          <w:r>
            <w:fldChar w:fldCharType="begin"/>
          </w:r>
          <w:r>
            <w:instrText xml:space="preserve"> HYPERLINK \l "_Toc1555493933_WPSOffice_Level2" </w:instrText>
          </w:r>
          <w:r>
            <w:fldChar w:fldCharType="separate"/>
          </w:r>
          <w:sdt>
            <w:sdtPr>
              <w:rPr>
                <w:rFonts w:ascii="Times New Roman" w:hAnsi="Times New Roman" w:eastAsia="仿宋" w:cs="Times New Roman"/>
                <w:kern w:val="2"/>
                <w:sz w:val="28"/>
                <w:szCs w:val="28"/>
              </w:rPr>
              <w:id w:val="1943491084"/>
              <w:placeholder>
                <w:docPart w:val="{9a7986e7-0ac3-412d-a1a5-8cc6ca55beda}"/>
              </w:placeholder>
            </w:sdtPr>
            <w:sdtEndPr>
              <w:rPr>
                <w:rFonts w:ascii="Times New Roman" w:hAnsi="Times New Roman" w:eastAsia="仿宋" w:cs="Times New Roman"/>
                <w:kern w:val="2"/>
                <w:sz w:val="28"/>
                <w:szCs w:val="28"/>
              </w:rPr>
            </w:sdtEndPr>
            <w:sdtContent>
              <w:r>
                <w:rPr>
                  <w:rFonts w:ascii="Times New Roman" w:hAnsi="Times New Roman" w:eastAsia="仿宋" w:cs="Times New Roman"/>
                  <w:sz w:val="28"/>
                  <w:szCs w:val="28"/>
                </w:rPr>
                <w:t>五、财政拨款支出决算明细表</w:t>
              </w:r>
            </w:sdtContent>
          </w:sdt>
          <w:r>
            <w:rPr>
              <w:rFonts w:ascii="Times New Roman" w:hAnsi="Times New Roman" w:eastAsia="仿宋" w:cs="Times New Roman"/>
              <w:sz w:val="28"/>
              <w:szCs w:val="28"/>
            </w:rPr>
            <w:tab/>
          </w:r>
          <w:bookmarkStart w:id="46" w:name="_Toc1555493933_WPSOffice_Level2Page"/>
          <w:r>
            <w:rPr>
              <w:rFonts w:ascii="Times New Roman" w:hAnsi="Times New Roman" w:eastAsia="仿宋" w:cs="Times New Roman"/>
              <w:sz w:val="28"/>
              <w:szCs w:val="28"/>
            </w:rPr>
            <w:t>33</w:t>
          </w:r>
          <w:bookmarkEnd w:id="46"/>
          <w:r>
            <w:rPr>
              <w:rFonts w:ascii="Times New Roman" w:hAnsi="Times New Roman" w:eastAsia="仿宋" w:cs="Times New Roman"/>
              <w:sz w:val="28"/>
              <w:szCs w:val="28"/>
            </w:rPr>
            <w:fldChar w:fldCharType="end"/>
          </w:r>
        </w:p>
        <w:p>
          <w:pPr>
            <w:pStyle w:val="52"/>
            <w:tabs>
              <w:tab w:val="right" w:leader="dot" w:pos="8306"/>
            </w:tabs>
            <w:spacing w:line="576" w:lineRule="exact"/>
            <w:ind w:left="420"/>
            <w:rPr>
              <w:rFonts w:ascii="Times New Roman" w:hAnsi="Times New Roman" w:eastAsia="仿宋" w:cs="Times New Roman"/>
              <w:sz w:val="28"/>
              <w:szCs w:val="28"/>
            </w:rPr>
          </w:pPr>
          <w:r>
            <w:fldChar w:fldCharType="begin"/>
          </w:r>
          <w:r>
            <w:instrText xml:space="preserve"> HYPERLINK \l "_Toc492136503_WPSOffice_Level2" </w:instrText>
          </w:r>
          <w:r>
            <w:fldChar w:fldCharType="separate"/>
          </w:r>
          <w:sdt>
            <w:sdtPr>
              <w:rPr>
                <w:rFonts w:ascii="Times New Roman" w:hAnsi="Times New Roman" w:eastAsia="仿宋" w:cs="Times New Roman"/>
                <w:kern w:val="2"/>
                <w:sz w:val="28"/>
                <w:szCs w:val="28"/>
              </w:rPr>
              <w:id w:val="-164553032"/>
              <w:placeholder>
                <w:docPart w:val="{b4ea26e2-c963-497e-aafd-39d1beb300b6}"/>
              </w:placeholder>
            </w:sdtPr>
            <w:sdtEndPr>
              <w:rPr>
                <w:rFonts w:ascii="Times New Roman" w:hAnsi="Times New Roman" w:eastAsia="仿宋" w:cs="Times New Roman"/>
                <w:kern w:val="2"/>
                <w:sz w:val="28"/>
                <w:szCs w:val="28"/>
              </w:rPr>
            </w:sdtEndPr>
            <w:sdtContent>
              <w:r>
                <w:rPr>
                  <w:rFonts w:ascii="Times New Roman" w:hAnsi="Times New Roman" w:eastAsia="仿宋" w:cs="Times New Roman"/>
                  <w:sz w:val="28"/>
                  <w:szCs w:val="28"/>
                </w:rPr>
                <w:t>六、一般公共预算财政拨款支出决算表</w:t>
              </w:r>
            </w:sdtContent>
          </w:sdt>
          <w:r>
            <w:rPr>
              <w:rFonts w:ascii="Times New Roman" w:hAnsi="Times New Roman" w:eastAsia="仿宋" w:cs="Times New Roman"/>
              <w:sz w:val="28"/>
              <w:szCs w:val="28"/>
            </w:rPr>
            <w:tab/>
          </w:r>
          <w:bookmarkStart w:id="47" w:name="_Toc492136503_WPSOffice_Level2Page"/>
          <w:r>
            <w:rPr>
              <w:rFonts w:ascii="Times New Roman" w:hAnsi="Times New Roman" w:eastAsia="仿宋" w:cs="Times New Roman"/>
              <w:sz w:val="28"/>
              <w:szCs w:val="28"/>
            </w:rPr>
            <w:t>33</w:t>
          </w:r>
          <w:bookmarkEnd w:id="47"/>
          <w:r>
            <w:rPr>
              <w:rFonts w:ascii="Times New Roman" w:hAnsi="Times New Roman" w:eastAsia="仿宋" w:cs="Times New Roman"/>
              <w:sz w:val="28"/>
              <w:szCs w:val="28"/>
            </w:rPr>
            <w:fldChar w:fldCharType="end"/>
          </w:r>
        </w:p>
        <w:p>
          <w:pPr>
            <w:pStyle w:val="52"/>
            <w:tabs>
              <w:tab w:val="right" w:leader="dot" w:pos="8306"/>
            </w:tabs>
            <w:spacing w:line="576" w:lineRule="exact"/>
            <w:ind w:left="420"/>
            <w:rPr>
              <w:rFonts w:ascii="Times New Roman" w:hAnsi="Times New Roman" w:eastAsia="仿宋" w:cs="Times New Roman"/>
              <w:sz w:val="28"/>
              <w:szCs w:val="28"/>
            </w:rPr>
          </w:pPr>
          <w:r>
            <w:fldChar w:fldCharType="begin"/>
          </w:r>
          <w:r>
            <w:instrText xml:space="preserve"> HYPERLINK \l "_Toc2077441754_WPSOffice_Level2" </w:instrText>
          </w:r>
          <w:r>
            <w:fldChar w:fldCharType="separate"/>
          </w:r>
          <w:sdt>
            <w:sdtPr>
              <w:rPr>
                <w:rFonts w:ascii="Times New Roman" w:hAnsi="Times New Roman" w:eastAsia="仿宋" w:cs="Times New Roman"/>
                <w:kern w:val="2"/>
                <w:sz w:val="28"/>
                <w:szCs w:val="28"/>
              </w:rPr>
              <w:id w:val="-1114430545"/>
              <w:placeholder>
                <w:docPart w:val="{3eac7238-e332-41e8-a41e-54b98d3d6320}"/>
              </w:placeholder>
            </w:sdtPr>
            <w:sdtEndPr>
              <w:rPr>
                <w:rFonts w:ascii="Times New Roman" w:hAnsi="Times New Roman" w:eastAsia="仿宋" w:cs="Times New Roman"/>
                <w:kern w:val="2"/>
                <w:sz w:val="28"/>
                <w:szCs w:val="28"/>
              </w:rPr>
            </w:sdtEndPr>
            <w:sdtContent>
              <w:r>
                <w:rPr>
                  <w:rFonts w:ascii="Times New Roman" w:hAnsi="Times New Roman" w:eastAsia="仿宋" w:cs="Times New Roman"/>
                  <w:sz w:val="28"/>
                  <w:szCs w:val="28"/>
                </w:rPr>
                <w:t>七、一般公共预算财政拨款支出决算明细表</w:t>
              </w:r>
            </w:sdtContent>
          </w:sdt>
          <w:r>
            <w:rPr>
              <w:rFonts w:ascii="Times New Roman" w:hAnsi="Times New Roman" w:eastAsia="仿宋" w:cs="Times New Roman"/>
              <w:sz w:val="28"/>
              <w:szCs w:val="28"/>
            </w:rPr>
            <w:tab/>
          </w:r>
          <w:bookmarkStart w:id="48" w:name="_Toc2077441754_WPSOffice_Level2Page"/>
          <w:r>
            <w:rPr>
              <w:rFonts w:ascii="Times New Roman" w:hAnsi="Times New Roman" w:eastAsia="仿宋" w:cs="Times New Roman"/>
              <w:sz w:val="28"/>
              <w:szCs w:val="28"/>
            </w:rPr>
            <w:t>33</w:t>
          </w:r>
          <w:bookmarkEnd w:id="48"/>
          <w:r>
            <w:rPr>
              <w:rFonts w:ascii="Times New Roman" w:hAnsi="Times New Roman" w:eastAsia="仿宋" w:cs="Times New Roman"/>
              <w:sz w:val="28"/>
              <w:szCs w:val="28"/>
            </w:rPr>
            <w:fldChar w:fldCharType="end"/>
          </w:r>
        </w:p>
        <w:p>
          <w:pPr>
            <w:pStyle w:val="52"/>
            <w:tabs>
              <w:tab w:val="right" w:leader="dot" w:pos="8306"/>
            </w:tabs>
            <w:spacing w:line="576" w:lineRule="exact"/>
            <w:ind w:left="420"/>
            <w:rPr>
              <w:rFonts w:ascii="Times New Roman" w:hAnsi="Times New Roman" w:eastAsia="仿宋" w:cs="Times New Roman"/>
              <w:sz w:val="28"/>
              <w:szCs w:val="28"/>
            </w:rPr>
          </w:pPr>
          <w:r>
            <w:fldChar w:fldCharType="begin"/>
          </w:r>
          <w:r>
            <w:instrText xml:space="preserve"> HYPERLINK \l "_Toc731801418_WPSOffice_Level2" </w:instrText>
          </w:r>
          <w:r>
            <w:fldChar w:fldCharType="separate"/>
          </w:r>
          <w:sdt>
            <w:sdtPr>
              <w:rPr>
                <w:rFonts w:ascii="Times New Roman" w:hAnsi="Times New Roman" w:eastAsia="仿宋" w:cs="Times New Roman"/>
                <w:kern w:val="2"/>
                <w:sz w:val="28"/>
                <w:szCs w:val="28"/>
              </w:rPr>
              <w:id w:val="1370107943"/>
              <w:placeholder>
                <w:docPart w:val="{6fd79931-9eb5-4ab8-88bc-9565b000bcad}"/>
              </w:placeholder>
            </w:sdtPr>
            <w:sdtEndPr>
              <w:rPr>
                <w:rFonts w:ascii="Times New Roman" w:hAnsi="Times New Roman" w:eastAsia="仿宋" w:cs="Times New Roman"/>
                <w:kern w:val="2"/>
                <w:sz w:val="28"/>
                <w:szCs w:val="28"/>
              </w:rPr>
            </w:sdtEndPr>
            <w:sdtContent>
              <w:r>
                <w:rPr>
                  <w:rFonts w:ascii="Times New Roman" w:hAnsi="Times New Roman" w:eastAsia="仿宋" w:cs="Times New Roman"/>
                  <w:sz w:val="28"/>
                  <w:szCs w:val="28"/>
                </w:rPr>
                <w:t>八、一般公共预算财政拨款基本支出决算表</w:t>
              </w:r>
            </w:sdtContent>
          </w:sdt>
          <w:r>
            <w:rPr>
              <w:rFonts w:ascii="Times New Roman" w:hAnsi="Times New Roman" w:eastAsia="仿宋" w:cs="Times New Roman"/>
              <w:sz w:val="28"/>
              <w:szCs w:val="28"/>
            </w:rPr>
            <w:tab/>
          </w:r>
          <w:bookmarkStart w:id="49" w:name="_Toc731801418_WPSOffice_Level2Page"/>
          <w:r>
            <w:rPr>
              <w:rFonts w:ascii="Times New Roman" w:hAnsi="Times New Roman" w:eastAsia="仿宋" w:cs="Times New Roman"/>
              <w:sz w:val="28"/>
              <w:szCs w:val="28"/>
            </w:rPr>
            <w:t>33</w:t>
          </w:r>
          <w:bookmarkEnd w:id="49"/>
          <w:r>
            <w:rPr>
              <w:rFonts w:ascii="Times New Roman" w:hAnsi="Times New Roman" w:eastAsia="仿宋" w:cs="Times New Roman"/>
              <w:sz w:val="28"/>
              <w:szCs w:val="28"/>
            </w:rPr>
            <w:fldChar w:fldCharType="end"/>
          </w:r>
        </w:p>
        <w:p>
          <w:pPr>
            <w:pStyle w:val="52"/>
            <w:tabs>
              <w:tab w:val="right" w:leader="dot" w:pos="8306"/>
            </w:tabs>
            <w:spacing w:line="576" w:lineRule="exact"/>
            <w:ind w:left="420"/>
            <w:rPr>
              <w:rFonts w:ascii="Times New Roman" w:hAnsi="Times New Roman" w:eastAsia="仿宋" w:cs="Times New Roman"/>
              <w:sz w:val="28"/>
              <w:szCs w:val="28"/>
            </w:rPr>
          </w:pPr>
          <w:r>
            <w:fldChar w:fldCharType="begin"/>
          </w:r>
          <w:r>
            <w:instrText xml:space="preserve"> HYPERLINK \l "_Toc1209728593_WPSOffice_Level2" </w:instrText>
          </w:r>
          <w:r>
            <w:fldChar w:fldCharType="separate"/>
          </w:r>
          <w:sdt>
            <w:sdtPr>
              <w:rPr>
                <w:rFonts w:ascii="Times New Roman" w:hAnsi="Times New Roman" w:eastAsia="仿宋" w:cs="Times New Roman"/>
                <w:kern w:val="2"/>
                <w:sz w:val="28"/>
                <w:szCs w:val="28"/>
              </w:rPr>
              <w:id w:val="-1675094048"/>
              <w:placeholder>
                <w:docPart w:val="{b409cb12-dd70-4dfd-8b5f-a1b2926fd0bd}"/>
              </w:placeholder>
            </w:sdtPr>
            <w:sdtEndPr>
              <w:rPr>
                <w:rFonts w:ascii="Times New Roman" w:hAnsi="Times New Roman" w:eastAsia="仿宋" w:cs="Times New Roman"/>
                <w:kern w:val="2"/>
                <w:sz w:val="28"/>
                <w:szCs w:val="28"/>
              </w:rPr>
            </w:sdtEndPr>
            <w:sdtContent>
              <w:r>
                <w:rPr>
                  <w:rFonts w:ascii="Times New Roman" w:hAnsi="Times New Roman" w:eastAsia="仿宋" w:cs="Times New Roman"/>
                  <w:sz w:val="28"/>
                  <w:szCs w:val="28"/>
                </w:rPr>
                <w:t>九、一般公共预算财政拨款项目支出决算表</w:t>
              </w:r>
            </w:sdtContent>
          </w:sdt>
          <w:r>
            <w:rPr>
              <w:rFonts w:ascii="Times New Roman" w:hAnsi="Times New Roman" w:eastAsia="仿宋" w:cs="Times New Roman"/>
              <w:sz w:val="28"/>
              <w:szCs w:val="28"/>
            </w:rPr>
            <w:tab/>
          </w:r>
          <w:bookmarkStart w:id="50" w:name="_Toc1209728593_WPSOffice_Level2Page"/>
          <w:r>
            <w:rPr>
              <w:rFonts w:ascii="Times New Roman" w:hAnsi="Times New Roman" w:eastAsia="仿宋" w:cs="Times New Roman"/>
              <w:sz w:val="28"/>
              <w:szCs w:val="28"/>
            </w:rPr>
            <w:t>33</w:t>
          </w:r>
          <w:bookmarkEnd w:id="50"/>
          <w:r>
            <w:rPr>
              <w:rFonts w:ascii="Times New Roman" w:hAnsi="Times New Roman" w:eastAsia="仿宋" w:cs="Times New Roman"/>
              <w:sz w:val="28"/>
              <w:szCs w:val="28"/>
            </w:rPr>
            <w:fldChar w:fldCharType="end"/>
          </w:r>
        </w:p>
        <w:p>
          <w:pPr>
            <w:pStyle w:val="52"/>
            <w:tabs>
              <w:tab w:val="right" w:leader="dot" w:pos="8306"/>
            </w:tabs>
            <w:spacing w:line="576" w:lineRule="exact"/>
            <w:ind w:left="420"/>
            <w:rPr>
              <w:rFonts w:ascii="Times New Roman" w:hAnsi="Times New Roman" w:eastAsia="仿宋" w:cs="Times New Roman"/>
              <w:sz w:val="28"/>
              <w:szCs w:val="28"/>
            </w:rPr>
          </w:pPr>
          <w:r>
            <w:fldChar w:fldCharType="begin"/>
          </w:r>
          <w:r>
            <w:instrText xml:space="preserve"> HYPERLINK \l "_Toc28516872_WPSOffice_Level2" </w:instrText>
          </w:r>
          <w:r>
            <w:fldChar w:fldCharType="separate"/>
          </w:r>
          <w:sdt>
            <w:sdtPr>
              <w:rPr>
                <w:rFonts w:ascii="Times New Roman" w:hAnsi="Times New Roman" w:eastAsia="仿宋" w:cs="Times New Roman"/>
                <w:kern w:val="2"/>
                <w:sz w:val="28"/>
                <w:szCs w:val="28"/>
              </w:rPr>
              <w:id w:val="996845406"/>
              <w:placeholder>
                <w:docPart w:val="{58f78fc9-5554-461e-aeb5-057efbf95baa}"/>
              </w:placeholder>
            </w:sdtPr>
            <w:sdtEndPr>
              <w:rPr>
                <w:rFonts w:ascii="Times New Roman" w:hAnsi="Times New Roman" w:eastAsia="仿宋" w:cs="Times New Roman"/>
                <w:kern w:val="2"/>
                <w:sz w:val="28"/>
                <w:szCs w:val="28"/>
              </w:rPr>
            </w:sdtEndPr>
            <w:sdtContent>
              <w:r>
                <w:rPr>
                  <w:rFonts w:ascii="Times New Roman" w:hAnsi="Times New Roman" w:eastAsia="仿宋" w:cs="Times New Roman"/>
                  <w:sz w:val="28"/>
                  <w:szCs w:val="28"/>
                </w:rPr>
                <w:t>十、政府性基金预算财政拨款收入支出决算表</w:t>
              </w:r>
            </w:sdtContent>
          </w:sdt>
          <w:r>
            <w:rPr>
              <w:rFonts w:ascii="Times New Roman" w:hAnsi="Times New Roman" w:eastAsia="仿宋" w:cs="Times New Roman"/>
              <w:sz w:val="28"/>
              <w:szCs w:val="28"/>
            </w:rPr>
            <w:tab/>
          </w:r>
          <w:bookmarkStart w:id="51" w:name="_Toc28516872_WPSOffice_Level2Page"/>
          <w:r>
            <w:rPr>
              <w:rFonts w:ascii="Times New Roman" w:hAnsi="Times New Roman" w:eastAsia="仿宋" w:cs="Times New Roman"/>
              <w:sz w:val="28"/>
              <w:szCs w:val="28"/>
            </w:rPr>
            <w:t>33</w:t>
          </w:r>
          <w:bookmarkEnd w:id="51"/>
          <w:r>
            <w:rPr>
              <w:rFonts w:ascii="Times New Roman" w:hAnsi="Times New Roman" w:eastAsia="仿宋" w:cs="Times New Roman"/>
              <w:sz w:val="28"/>
              <w:szCs w:val="28"/>
            </w:rPr>
            <w:fldChar w:fldCharType="end"/>
          </w:r>
        </w:p>
        <w:p>
          <w:pPr>
            <w:pStyle w:val="52"/>
            <w:tabs>
              <w:tab w:val="right" w:leader="dot" w:pos="8306"/>
            </w:tabs>
            <w:spacing w:line="576" w:lineRule="exact"/>
            <w:ind w:left="420"/>
            <w:rPr>
              <w:rFonts w:ascii="Times New Roman" w:hAnsi="Times New Roman" w:eastAsia="仿宋" w:cs="Times New Roman"/>
              <w:sz w:val="28"/>
              <w:szCs w:val="28"/>
            </w:rPr>
          </w:pPr>
          <w:r>
            <w:fldChar w:fldCharType="begin"/>
          </w:r>
          <w:r>
            <w:instrText xml:space="preserve"> HYPERLINK \l "_Toc1757773620_WPSOffice_Level2" </w:instrText>
          </w:r>
          <w:r>
            <w:fldChar w:fldCharType="separate"/>
          </w:r>
          <w:sdt>
            <w:sdtPr>
              <w:rPr>
                <w:rFonts w:ascii="Times New Roman" w:hAnsi="Times New Roman" w:eastAsia="仿宋" w:cs="Times New Roman"/>
                <w:kern w:val="2"/>
                <w:sz w:val="28"/>
                <w:szCs w:val="28"/>
              </w:rPr>
              <w:id w:val="524295467"/>
              <w:placeholder>
                <w:docPart w:val="{405523bc-0492-4904-acba-d5765d594fb2}"/>
              </w:placeholder>
            </w:sdtPr>
            <w:sdtEndPr>
              <w:rPr>
                <w:rFonts w:ascii="Times New Roman" w:hAnsi="Times New Roman" w:eastAsia="仿宋" w:cs="Times New Roman"/>
                <w:kern w:val="2"/>
                <w:sz w:val="28"/>
                <w:szCs w:val="28"/>
              </w:rPr>
            </w:sdtEndPr>
            <w:sdtContent>
              <w:r>
                <w:rPr>
                  <w:rFonts w:ascii="Times New Roman" w:hAnsi="Times New Roman" w:eastAsia="仿宋" w:cs="Times New Roman"/>
                  <w:sz w:val="28"/>
                  <w:szCs w:val="28"/>
                </w:rPr>
                <w:t>十一、国有资本经营预算财政拨款收入支出决算表</w:t>
              </w:r>
            </w:sdtContent>
          </w:sdt>
          <w:r>
            <w:rPr>
              <w:rFonts w:ascii="Times New Roman" w:hAnsi="Times New Roman" w:eastAsia="仿宋" w:cs="Times New Roman"/>
              <w:sz w:val="28"/>
              <w:szCs w:val="28"/>
            </w:rPr>
            <w:tab/>
          </w:r>
          <w:bookmarkStart w:id="52" w:name="_Toc1757773620_WPSOffice_Level2Page"/>
          <w:r>
            <w:rPr>
              <w:rFonts w:ascii="Times New Roman" w:hAnsi="Times New Roman" w:eastAsia="仿宋" w:cs="Times New Roman"/>
              <w:sz w:val="28"/>
              <w:szCs w:val="28"/>
            </w:rPr>
            <w:t>33</w:t>
          </w:r>
          <w:bookmarkEnd w:id="52"/>
          <w:r>
            <w:rPr>
              <w:rFonts w:ascii="Times New Roman" w:hAnsi="Times New Roman" w:eastAsia="仿宋" w:cs="Times New Roman"/>
              <w:sz w:val="28"/>
              <w:szCs w:val="28"/>
            </w:rPr>
            <w:fldChar w:fldCharType="end"/>
          </w:r>
        </w:p>
        <w:p>
          <w:pPr>
            <w:pStyle w:val="52"/>
            <w:tabs>
              <w:tab w:val="right" w:leader="dot" w:pos="8306"/>
            </w:tabs>
            <w:spacing w:line="576" w:lineRule="exact"/>
            <w:ind w:left="420"/>
            <w:rPr>
              <w:rFonts w:ascii="Times New Roman" w:hAnsi="Times New Roman" w:eastAsia="仿宋" w:cs="Times New Roman"/>
              <w:sz w:val="28"/>
              <w:szCs w:val="28"/>
            </w:rPr>
          </w:pPr>
          <w:r>
            <w:fldChar w:fldCharType="begin"/>
          </w:r>
          <w:r>
            <w:instrText xml:space="preserve"> HYPERLINK \l "_Toc683253055_WPSOffice_Level2" </w:instrText>
          </w:r>
          <w:r>
            <w:fldChar w:fldCharType="separate"/>
          </w:r>
          <w:sdt>
            <w:sdtPr>
              <w:rPr>
                <w:rFonts w:ascii="Times New Roman" w:hAnsi="Times New Roman" w:eastAsia="仿宋" w:cs="Times New Roman"/>
                <w:kern w:val="2"/>
                <w:sz w:val="28"/>
                <w:szCs w:val="28"/>
              </w:rPr>
              <w:id w:val="1433323062"/>
              <w:placeholder>
                <w:docPart w:val="{0be7ebb4-6a1d-434b-a485-8c803623d5ea}"/>
              </w:placeholder>
            </w:sdtPr>
            <w:sdtEndPr>
              <w:rPr>
                <w:rFonts w:ascii="Times New Roman" w:hAnsi="Times New Roman" w:eastAsia="仿宋" w:cs="Times New Roman"/>
                <w:kern w:val="2"/>
                <w:sz w:val="28"/>
                <w:szCs w:val="28"/>
              </w:rPr>
            </w:sdtEndPr>
            <w:sdtContent>
              <w:r>
                <w:rPr>
                  <w:rFonts w:ascii="Times New Roman" w:hAnsi="Times New Roman" w:eastAsia="仿宋" w:cs="Times New Roman"/>
                  <w:sz w:val="28"/>
                  <w:szCs w:val="28"/>
                </w:rPr>
                <w:t>十二、国有资本经营预算财政拨款支出决算表</w:t>
              </w:r>
            </w:sdtContent>
          </w:sdt>
          <w:r>
            <w:rPr>
              <w:rFonts w:ascii="Times New Roman" w:hAnsi="Times New Roman" w:eastAsia="仿宋" w:cs="Times New Roman"/>
              <w:sz w:val="28"/>
              <w:szCs w:val="28"/>
            </w:rPr>
            <w:tab/>
          </w:r>
          <w:bookmarkStart w:id="53" w:name="_Toc683253055_WPSOffice_Level2Page"/>
          <w:r>
            <w:rPr>
              <w:rFonts w:ascii="Times New Roman" w:hAnsi="Times New Roman" w:eastAsia="仿宋" w:cs="Times New Roman"/>
              <w:sz w:val="28"/>
              <w:szCs w:val="28"/>
            </w:rPr>
            <w:t>33</w:t>
          </w:r>
          <w:bookmarkEnd w:id="53"/>
          <w:r>
            <w:rPr>
              <w:rFonts w:ascii="Times New Roman" w:hAnsi="Times New Roman" w:eastAsia="仿宋" w:cs="Times New Roman"/>
              <w:sz w:val="28"/>
              <w:szCs w:val="28"/>
            </w:rPr>
            <w:fldChar w:fldCharType="end"/>
          </w:r>
        </w:p>
        <w:p>
          <w:pPr>
            <w:pStyle w:val="52"/>
            <w:tabs>
              <w:tab w:val="right" w:leader="dot" w:pos="8306"/>
            </w:tabs>
            <w:spacing w:line="576" w:lineRule="exact"/>
            <w:ind w:left="420"/>
            <w:rPr>
              <w:rFonts w:ascii="Times New Roman" w:hAnsi="Times New Roman" w:cs="Times New Roman"/>
              <w:sz w:val="28"/>
              <w:szCs w:val="28"/>
            </w:rPr>
          </w:pPr>
          <w:r>
            <w:fldChar w:fldCharType="begin"/>
          </w:r>
          <w:r>
            <w:instrText xml:space="preserve"> HYPERLINK \l "_Toc1955581603_WPSOffice_Level2" </w:instrText>
          </w:r>
          <w:r>
            <w:fldChar w:fldCharType="separate"/>
          </w:r>
          <w:sdt>
            <w:sdtPr>
              <w:rPr>
                <w:rFonts w:ascii="Times New Roman" w:hAnsi="Times New Roman" w:eastAsia="仿宋" w:cs="Times New Roman"/>
                <w:kern w:val="2"/>
                <w:sz w:val="28"/>
                <w:szCs w:val="28"/>
              </w:rPr>
              <w:id w:val="2125810924"/>
              <w:placeholder>
                <w:docPart w:val="{a1355cf4-790a-4c48-9644-edf5ddbcecd3}"/>
              </w:placeholder>
            </w:sdtPr>
            <w:sdtEndPr>
              <w:rPr>
                <w:rFonts w:ascii="Times New Roman" w:hAnsi="Times New Roman" w:eastAsia="仿宋" w:cs="Times New Roman"/>
                <w:kern w:val="2"/>
                <w:sz w:val="28"/>
                <w:szCs w:val="28"/>
              </w:rPr>
            </w:sdtEndPr>
            <w:sdtContent>
              <w:r>
                <w:rPr>
                  <w:rFonts w:ascii="Times New Roman" w:hAnsi="Times New Roman" w:eastAsia="仿宋" w:cs="Times New Roman"/>
                  <w:sz w:val="28"/>
                  <w:szCs w:val="28"/>
                </w:rPr>
                <w:t>十三、财政拨款“三公”经费支出决算表</w:t>
              </w:r>
            </w:sdtContent>
          </w:sdt>
          <w:r>
            <w:rPr>
              <w:rFonts w:ascii="Times New Roman" w:hAnsi="Times New Roman" w:eastAsia="仿宋" w:cs="Times New Roman"/>
              <w:sz w:val="28"/>
              <w:szCs w:val="28"/>
            </w:rPr>
            <w:tab/>
          </w:r>
          <w:bookmarkStart w:id="54" w:name="_Toc1955581603_WPSOffice_Level2Page"/>
          <w:r>
            <w:rPr>
              <w:rFonts w:ascii="Times New Roman" w:hAnsi="Times New Roman" w:eastAsia="仿宋" w:cs="Times New Roman"/>
              <w:sz w:val="28"/>
              <w:szCs w:val="28"/>
            </w:rPr>
            <w:t>33</w:t>
          </w:r>
          <w:bookmarkEnd w:id="54"/>
          <w:r>
            <w:rPr>
              <w:rFonts w:ascii="Times New Roman" w:hAnsi="Times New Roman" w:eastAsia="仿宋" w:cs="Times New Roman"/>
              <w:sz w:val="28"/>
              <w:szCs w:val="28"/>
            </w:rPr>
            <w:fldChar w:fldCharType="end"/>
          </w:r>
        </w:p>
      </w:sdtContent>
    </w:sdt>
    <w:bookmarkEnd w:id="12"/>
    <w:p>
      <w:pPr>
        <w:widowControl/>
        <w:spacing w:line="576" w:lineRule="exact"/>
        <w:jc w:val="left"/>
        <w:rPr>
          <w:rFonts w:eastAsiaTheme="minorEastAsia"/>
          <w:bCs/>
          <w:kern w:val="44"/>
          <w:sz w:val="28"/>
          <w:szCs w:val="28"/>
        </w:rPr>
      </w:pPr>
      <w:r>
        <w:rPr>
          <w:rFonts w:eastAsiaTheme="minorEastAsia"/>
          <w:b/>
          <w:sz w:val="28"/>
          <w:szCs w:val="28"/>
        </w:rPr>
        <w:br w:type="page"/>
      </w:r>
    </w:p>
    <w:p>
      <w:pPr>
        <w:pStyle w:val="3"/>
        <w:spacing w:line="576" w:lineRule="exact"/>
        <w:jc w:val="center"/>
        <w:rPr>
          <w:rStyle w:val="29"/>
          <w:rFonts w:eastAsia="黑体"/>
          <w:b/>
          <w:bCs w:val="0"/>
        </w:rPr>
      </w:pPr>
      <w:bookmarkStart w:id="55" w:name="_Toc373754188_WPSOffice_Level1"/>
      <w:r>
        <w:rPr>
          <w:rFonts w:eastAsia="黑体"/>
          <w:b w:val="0"/>
        </w:rPr>
        <w:t xml:space="preserve">第一部分 </w:t>
      </w:r>
      <w:r>
        <w:rPr>
          <w:rStyle w:val="29"/>
          <w:rFonts w:eastAsia="黑体"/>
          <w:b w:val="0"/>
          <w:bCs w:val="0"/>
        </w:rPr>
        <w:t>部门概况</w:t>
      </w:r>
      <w:bookmarkEnd w:id="13"/>
      <w:bookmarkEnd w:id="14"/>
      <w:bookmarkEnd w:id="55"/>
    </w:p>
    <w:p>
      <w:pPr>
        <w:widowControl/>
        <w:spacing w:line="576" w:lineRule="exact"/>
        <w:jc w:val="left"/>
        <w:rPr>
          <w:rFonts w:eastAsia="黑体"/>
          <w:sz w:val="32"/>
          <w:szCs w:val="32"/>
        </w:rPr>
      </w:pPr>
    </w:p>
    <w:p>
      <w:pPr>
        <w:pStyle w:val="4"/>
        <w:spacing w:line="576" w:lineRule="exact"/>
        <w:rPr>
          <w:rFonts w:ascii="Times New Roman" w:hAnsi="Times New Roman" w:eastAsia="黑体" w:cs="Times New Roman"/>
          <w:b w:val="0"/>
        </w:rPr>
      </w:pPr>
      <w:bookmarkStart w:id="56" w:name="_Toc980763371_WPSOffice_Level2"/>
      <w:r>
        <w:rPr>
          <w:rFonts w:ascii="Times New Roman" w:hAnsi="Times New Roman" w:eastAsia="黑体" w:cs="Times New Roman"/>
          <w:b w:val="0"/>
        </w:rPr>
        <w:t xml:space="preserve">    一、部门职责</w:t>
      </w:r>
      <w:bookmarkEnd w:id="56"/>
    </w:p>
    <w:p>
      <w:pPr>
        <w:pStyle w:val="2"/>
        <w:adjustRightInd w:val="0"/>
        <w:snapToGrid w:val="0"/>
        <w:spacing w:before="93" w:line="576" w:lineRule="exact"/>
        <w:ind w:firstLine="672" w:firstLineChars="210"/>
        <w:outlineLvl w:val="2"/>
        <w:rPr>
          <w:rFonts w:ascii="Times New Roman"/>
        </w:rPr>
      </w:pPr>
      <w:r>
        <w:rPr>
          <w:rFonts w:ascii="Times New Roman"/>
          <w:sz w:val="32"/>
          <w:szCs w:val="32"/>
        </w:rPr>
        <w:t>根据事业单位法人证书宗旨和业务范围的登记，攀枝花市档案馆（以下简称市档案馆）的职能有：收集保存提供利用档案资料，促进社会经济文化科学发展。（档案、资料）收集、整理、保管、鉴定；档案资料信息资源的开发利用；档案资料网络系统（设计、施工、维护、管理）；档案资料数字化处理；档案学研究；档案资料编纂；知识培训与社会教育。</w:t>
      </w:r>
    </w:p>
    <w:p>
      <w:pPr>
        <w:pStyle w:val="4"/>
        <w:spacing w:line="576" w:lineRule="exact"/>
        <w:rPr>
          <w:rStyle w:val="30"/>
          <w:rFonts w:ascii="Times New Roman" w:hAnsi="Times New Roman" w:cs="Times New Roman"/>
          <w:b w:val="0"/>
          <w:bCs w:val="0"/>
        </w:rPr>
      </w:pPr>
      <w:bookmarkStart w:id="57" w:name="_Toc1323791133_WPSOffice_Level2"/>
      <w:bookmarkStart w:id="58" w:name="_Toc15396601"/>
      <w:bookmarkStart w:id="59" w:name="_Toc15377200"/>
      <w:r>
        <w:rPr>
          <w:rFonts w:ascii="Times New Roman" w:hAnsi="Times New Roman" w:eastAsia="黑体" w:cs="Times New Roman"/>
          <w:b w:val="0"/>
        </w:rPr>
        <w:t xml:space="preserve">    二、机</w:t>
      </w:r>
      <w:r>
        <w:rPr>
          <w:rStyle w:val="30"/>
          <w:rFonts w:ascii="Times New Roman" w:hAnsi="Times New Roman" w:eastAsia="黑体" w:cs="Times New Roman"/>
          <w:b w:val="0"/>
          <w:bCs w:val="0"/>
        </w:rPr>
        <w:t>构设置</w:t>
      </w:r>
      <w:bookmarkEnd w:id="57"/>
      <w:bookmarkEnd w:id="58"/>
      <w:bookmarkEnd w:id="59"/>
    </w:p>
    <w:p>
      <w:pPr>
        <w:spacing w:line="576" w:lineRule="exact"/>
        <w:rPr>
          <w:rFonts w:eastAsia="仿宋"/>
          <w:sz w:val="32"/>
          <w:szCs w:val="32"/>
        </w:rPr>
      </w:pPr>
      <w:r>
        <w:rPr>
          <w:rFonts w:eastAsia="仿宋"/>
          <w:sz w:val="32"/>
          <w:szCs w:val="32"/>
        </w:rPr>
        <w:t xml:space="preserve">    市档案馆为1个一级预算单位（参照公务员法管理的事业单位）。下属二级单位0个，其中行政单位0个，参照公务员法管理的事业单位</w:t>
      </w:r>
      <w:r>
        <w:rPr>
          <w:rFonts w:eastAsia="仿宋"/>
          <w:bCs/>
          <w:sz w:val="32"/>
          <w:szCs w:val="32"/>
        </w:rPr>
        <w:t>0</w:t>
      </w:r>
      <w:r>
        <w:rPr>
          <w:rFonts w:eastAsia="仿宋"/>
          <w:sz w:val="32"/>
          <w:szCs w:val="32"/>
        </w:rPr>
        <w:t>个，其他事业单位0个。</w:t>
      </w:r>
    </w:p>
    <w:p>
      <w:pPr>
        <w:pStyle w:val="2"/>
        <w:adjustRightInd w:val="0"/>
        <w:snapToGrid w:val="0"/>
        <w:spacing w:before="93" w:line="576" w:lineRule="exact"/>
        <w:ind w:firstLine="672" w:firstLineChars="210"/>
        <w:rPr>
          <w:rFonts w:ascii="Times New Roman" w:eastAsia="仿宋"/>
          <w:sz w:val="32"/>
          <w:szCs w:val="32"/>
        </w:rPr>
      </w:pPr>
      <w:r>
        <w:rPr>
          <w:rFonts w:ascii="Times New Roman" w:eastAsia="仿宋"/>
          <w:sz w:val="32"/>
          <w:szCs w:val="32"/>
        </w:rPr>
        <w:t>纳入2022年度部门决算编制范围的二级预算单位0个。</w:t>
      </w:r>
      <w:r>
        <w:rPr>
          <w:rFonts w:ascii="Times New Roman" w:eastAsia="仿宋"/>
          <w:sz w:val="32"/>
          <w:szCs w:val="32"/>
        </w:rPr>
        <w:br w:type="page"/>
      </w:r>
    </w:p>
    <w:p>
      <w:pPr>
        <w:pStyle w:val="3"/>
        <w:spacing w:line="576" w:lineRule="exact"/>
        <w:ind w:right="440"/>
        <w:jc w:val="center"/>
        <w:rPr>
          <w:rStyle w:val="29"/>
          <w:rFonts w:eastAsia="黑体"/>
          <w:b w:val="0"/>
          <w:bCs/>
        </w:rPr>
      </w:pPr>
      <w:bookmarkStart w:id="60" w:name="_Toc15377204"/>
      <w:bookmarkStart w:id="61" w:name="_Toc15396602"/>
      <w:bookmarkStart w:id="62" w:name="_Toc980763371_WPSOffice_Level1"/>
      <w:r>
        <w:rPr>
          <w:rFonts w:eastAsia="黑体"/>
          <w:b w:val="0"/>
        </w:rPr>
        <w:t>第二部分 2022年度</w:t>
      </w:r>
      <w:r>
        <w:rPr>
          <w:rStyle w:val="29"/>
          <w:rFonts w:eastAsia="黑体"/>
          <w:b w:val="0"/>
          <w:bCs/>
        </w:rPr>
        <w:t>部门决算情况说明</w:t>
      </w:r>
      <w:bookmarkEnd w:id="60"/>
      <w:bookmarkEnd w:id="61"/>
      <w:bookmarkEnd w:id="62"/>
    </w:p>
    <w:p>
      <w:pPr>
        <w:spacing w:line="576" w:lineRule="exact"/>
      </w:pPr>
    </w:p>
    <w:p>
      <w:pPr>
        <w:pStyle w:val="28"/>
        <w:numPr>
          <w:ilvl w:val="0"/>
          <w:numId w:val="1"/>
        </w:numPr>
        <w:spacing w:line="576" w:lineRule="exact"/>
        <w:ind w:firstLineChars="0"/>
        <w:outlineLvl w:val="1"/>
        <w:rPr>
          <w:rStyle w:val="30"/>
          <w:rFonts w:ascii="Times New Roman" w:hAnsi="Times New Roman" w:eastAsia="黑体" w:cs="Times New Roman"/>
          <w:b w:val="0"/>
        </w:rPr>
      </w:pPr>
      <w:bookmarkStart w:id="63" w:name="_Toc717592090_WPSOffice_Level2"/>
      <w:bookmarkStart w:id="64" w:name="_Toc15377205"/>
      <w:bookmarkStart w:id="65" w:name="_Toc15396603"/>
      <w:r>
        <w:rPr>
          <w:rFonts w:eastAsia="黑体"/>
          <w:sz w:val="32"/>
          <w:szCs w:val="32"/>
        </w:rPr>
        <w:t>收</w:t>
      </w:r>
      <w:r>
        <w:rPr>
          <w:rStyle w:val="30"/>
          <w:rFonts w:ascii="Times New Roman" w:hAnsi="Times New Roman" w:eastAsia="黑体" w:cs="Times New Roman"/>
          <w:b w:val="0"/>
        </w:rPr>
        <w:t>入支出决算总体情况说明</w:t>
      </w:r>
      <w:bookmarkEnd w:id="63"/>
      <w:bookmarkEnd w:id="64"/>
      <w:bookmarkEnd w:id="65"/>
    </w:p>
    <w:p>
      <w:pPr>
        <w:spacing w:line="576" w:lineRule="exact"/>
        <w:ind w:firstLine="640" w:firstLineChars="200"/>
        <w:rPr>
          <w:rFonts w:eastAsia="仿宋"/>
          <w:sz w:val="32"/>
          <w:szCs w:val="32"/>
        </w:rPr>
      </w:pPr>
      <w:r>
        <w:rPr>
          <w:rFonts w:eastAsia="仿宋"/>
          <w:sz w:val="32"/>
          <w:szCs w:val="32"/>
        </w:rPr>
        <w:t>2022年度收、支总计831.09万元。与2021年相比，收入总计增加12.62万元、支出总计增加3.85万元，收入总计增长1.54%，支出总计增加0.46%。主要变动原因是人员经费增加。</w:t>
      </w:r>
    </w:p>
    <w:p>
      <w:pPr>
        <w:spacing w:line="576" w:lineRule="exact"/>
        <w:ind w:firstLine="640" w:firstLineChars="200"/>
        <w:jc w:val="center"/>
        <w:rPr>
          <w:rFonts w:eastAsia="仿宋"/>
          <w:sz w:val="32"/>
          <w:szCs w:val="32"/>
        </w:rPr>
      </w:pPr>
      <w:r>
        <w:rPr>
          <w:rFonts w:eastAsia="仿宋"/>
          <w:sz w:val="32"/>
          <w:szCs w:val="32"/>
        </w:rPr>
        <w:drawing>
          <wp:anchor distT="0" distB="0" distL="114300" distR="114300" simplePos="0" relativeHeight="251664384" behindDoc="1" locked="0" layoutInCell="1" allowOverlap="1">
            <wp:simplePos x="0" y="0"/>
            <wp:positionH relativeFrom="column">
              <wp:posOffset>356870</wp:posOffset>
            </wp:positionH>
            <wp:positionV relativeFrom="paragraph">
              <wp:posOffset>229870</wp:posOffset>
            </wp:positionV>
            <wp:extent cx="4486275" cy="2133600"/>
            <wp:effectExtent l="4445" t="4445" r="5080" b="14605"/>
            <wp:wrapTight wrapText="bothSides">
              <wp:wrapPolygon>
                <wp:start x="-21" y="-45"/>
                <wp:lineTo x="-21" y="21555"/>
                <wp:lineTo x="21533" y="21555"/>
                <wp:lineTo x="21533" y="-45"/>
                <wp:lineTo x="-21" y="-45"/>
              </wp:wrapPolygon>
            </wp:wrapTight>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eastAsia="仿宋"/>
          <w:sz w:val="32"/>
          <w:szCs w:val="32"/>
        </w:rPr>
        <w:t>图1：收、支决算总计变动情况图</w:t>
      </w:r>
    </w:p>
    <w:p>
      <w:pPr>
        <w:spacing w:line="576" w:lineRule="exact"/>
        <w:ind w:firstLine="640" w:firstLineChars="200"/>
        <w:jc w:val="left"/>
        <w:rPr>
          <w:rFonts w:eastAsia="仿宋_GB2312"/>
          <w:sz w:val="32"/>
          <w:szCs w:val="32"/>
        </w:rPr>
      </w:pPr>
    </w:p>
    <w:p>
      <w:pPr>
        <w:pStyle w:val="28"/>
        <w:numPr>
          <w:ilvl w:val="0"/>
          <w:numId w:val="1"/>
        </w:numPr>
        <w:spacing w:line="576" w:lineRule="exact"/>
        <w:ind w:firstLineChars="0"/>
        <w:outlineLvl w:val="1"/>
        <w:rPr>
          <w:rStyle w:val="30"/>
          <w:rFonts w:ascii="Times New Roman" w:hAnsi="Times New Roman" w:eastAsia="黑体" w:cs="Times New Roman"/>
          <w:b w:val="0"/>
        </w:rPr>
      </w:pPr>
      <w:bookmarkStart w:id="66" w:name="_Toc98558766_WPSOffice_Level2"/>
      <w:bookmarkStart w:id="67" w:name="_Toc15396604"/>
      <w:bookmarkStart w:id="68" w:name="_Toc15377206"/>
      <w:r>
        <w:rPr>
          <w:rFonts w:eastAsia="黑体"/>
          <w:sz w:val="32"/>
          <w:szCs w:val="32"/>
        </w:rPr>
        <w:t>收</w:t>
      </w:r>
      <w:r>
        <w:rPr>
          <w:rStyle w:val="30"/>
          <w:rFonts w:ascii="Times New Roman" w:hAnsi="Times New Roman" w:eastAsia="黑体" w:cs="Times New Roman"/>
          <w:b w:val="0"/>
        </w:rPr>
        <w:t>入决算情况说明</w:t>
      </w:r>
      <w:bookmarkEnd w:id="66"/>
      <w:bookmarkEnd w:id="67"/>
      <w:bookmarkEnd w:id="68"/>
    </w:p>
    <w:p>
      <w:pPr>
        <w:spacing w:line="576" w:lineRule="exact"/>
        <w:ind w:firstLine="640" w:firstLineChars="200"/>
        <w:outlineLvl w:val="1"/>
        <w:rPr>
          <w:rFonts w:eastAsia="仿宋"/>
          <w:sz w:val="32"/>
          <w:szCs w:val="32"/>
        </w:rPr>
      </w:pPr>
      <w:r>
        <w:rPr>
          <w:rFonts w:eastAsia="仿宋"/>
          <w:sz w:val="32"/>
          <w:szCs w:val="32"/>
        </w:rPr>
        <w:t>2022年本年收入合计751.44万元，其中：一般公共预算财政拨款收入751.44万元，占100%；政府性基金预算财政拨款收入0万元，占0%；国有资本经营预算财政拨款收入0万元，占0%；上级补助收入0万元，占0%；事业收入0万元，占0%；经营收入0万元，占0%；附属单位上缴收入0万元，占0%；其他收入0万元，占0%。</w:t>
      </w:r>
    </w:p>
    <w:p>
      <w:pPr>
        <w:spacing w:line="576" w:lineRule="exact"/>
        <w:ind w:firstLine="640" w:firstLineChars="200"/>
        <w:rPr>
          <w:rFonts w:eastAsia="仿宋"/>
          <w:sz w:val="32"/>
          <w:szCs w:val="32"/>
        </w:rPr>
      </w:pPr>
      <w:r>
        <w:rPr>
          <w:rFonts w:eastAsia="仿宋_GB2312"/>
          <w:sz w:val="32"/>
          <w:szCs w:val="32"/>
        </w:rPr>
        <w:drawing>
          <wp:anchor distT="0" distB="0" distL="114300" distR="114300" simplePos="0" relativeHeight="251661312" behindDoc="1" locked="0" layoutInCell="1" allowOverlap="1">
            <wp:simplePos x="0" y="0"/>
            <wp:positionH relativeFrom="column">
              <wp:posOffset>994410</wp:posOffset>
            </wp:positionH>
            <wp:positionV relativeFrom="paragraph">
              <wp:posOffset>-109855</wp:posOffset>
            </wp:positionV>
            <wp:extent cx="3609975" cy="1905000"/>
            <wp:effectExtent l="0" t="0" r="8255" b="0"/>
            <wp:wrapTight wrapText="bothSides">
              <wp:wrapPolygon>
                <wp:start x="2394" y="3024"/>
                <wp:lineTo x="2394" y="21384"/>
                <wp:lineTo x="12538" y="21384"/>
                <wp:lineTo x="12538" y="13392"/>
                <wp:lineTo x="21543" y="12960"/>
                <wp:lineTo x="21543" y="8640"/>
                <wp:lineTo x="12538" y="6480"/>
                <wp:lineTo x="12424" y="3024"/>
                <wp:lineTo x="2394" y="3024"/>
              </wp:wrapPolygon>
            </wp:wrapTight>
            <wp:docPr id="3" name="图表 3"/>
            <wp:cNvGraphicFramePr>
              <a:graphicFrameLocks xmlns:a="http://schemas.openxmlformats.org/drawingml/2006/main" noChangeAspect="true"/>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576" w:lineRule="exact"/>
        <w:ind w:firstLine="640" w:firstLineChars="200"/>
        <w:rPr>
          <w:rFonts w:eastAsia="仿宋"/>
          <w:sz w:val="32"/>
          <w:szCs w:val="32"/>
        </w:rPr>
      </w:pPr>
    </w:p>
    <w:p>
      <w:pPr>
        <w:pStyle w:val="2"/>
        <w:spacing w:before="93" w:line="576" w:lineRule="exact"/>
        <w:rPr>
          <w:rFonts w:ascii="Times New Roman" w:eastAsia="仿宋"/>
          <w:sz w:val="32"/>
          <w:szCs w:val="32"/>
        </w:rPr>
      </w:pPr>
    </w:p>
    <w:p>
      <w:pPr>
        <w:pStyle w:val="2"/>
        <w:spacing w:before="93" w:line="576" w:lineRule="exact"/>
        <w:rPr>
          <w:rFonts w:ascii="Times New Roman" w:eastAsia="仿宋"/>
          <w:sz w:val="32"/>
          <w:szCs w:val="32"/>
        </w:rPr>
      </w:pPr>
    </w:p>
    <w:p>
      <w:pPr>
        <w:spacing w:line="576" w:lineRule="exact"/>
        <w:ind w:firstLine="640" w:firstLineChars="200"/>
        <w:rPr>
          <w:rFonts w:eastAsia="仿宋"/>
          <w:sz w:val="32"/>
          <w:szCs w:val="32"/>
        </w:rPr>
      </w:pPr>
      <w:r>
        <w:rPr>
          <w:rFonts w:eastAsia="仿宋"/>
          <w:sz w:val="32"/>
          <w:szCs w:val="32"/>
        </w:rPr>
        <w:t xml:space="preserve">     </w:t>
      </w:r>
    </w:p>
    <w:p>
      <w:pPr>
        <w:spacing w:line="576" w:lineRule="exact"/>
        <w:jc w:val="center"/>
        <w:rPr>
          <w:rFonts w:eastAsia="仿宋"/>
          <w:sz w:val="32"/>
          <w:szCs w:val="32"/>
        </w:rPr>
      </w:pPr>
      <w:r>
        <w:rPr>
          <w:rFonts w:eastAsia="仿宋"/>
          <w:sz w:val="32"/>
          <w:szCs w:val="32"/>
        </w:rPr>
        <w:t>图2：收入决算结构图</w:t>
      </w:r>
    </w:p>
    <w:p>
      <w:pPr>
        <w:spacing w:line="576" w:lineRule="exact"/>
        <w:ind w:firstLine="640" w:firstLineChars="200"/>
        <w:rPr>
          <w:rFonts w:eastAsia="仿宋_GB2312"/>
          <w:sz w:val="32"/>
          <w:szCs w:val="32"/>
        </w:rPr>
      </w:pPr>
    </w:p>
    <w:p>
      <w:pPr>
        <w:pStyle w:val="28"/>
        <w:numPr>
          <w:ilvl w:val="0"/>
          <w:numId w:val="1"/>
        </w:numPr>
        <w:spacing w:line="576" w:lineRule="exact"/>
        <w:ind w:firstLineChars="0"/>
        <w:outlineLvl w:val="1"/>
        <w:rPr>
          <w:rStyle w:val="30"/>
          <w:rFonts w:ascii="Times New Roman" w:hAnsi="Times New Roman" w:eastAsia="黑体" w:cs="Times New Roman"/>
          <w:b w:val="0"/>
        </w:rPr>
      </w:pPr>
      <w:bookmarkStart w:id="69" w:name="_Toc15377207"/>
      <w:bookmarkStart w:id="70" w:name="_Toc1025972202_WPSOffice_Level2"/>
      <w:bookmarkStart w:id="71" w:name="_Toc15396605"/>
      <w:r>
        <w:rPr>
          <w:rFonts w:eastAsia="黑体"/>
          <w:sz w:val="32"/>
          <w:szCs w:val="32"/>
        </w:rPr>
        <w:t>支</w:t>
      </w:r>
      <w:r>
        <w:rPr>
          <w:rStyle w:val="30"/>
          <w:rFonts w:ascii="Times New Roman" w:hAnsi="Times New Roman" w:eastAsia="黑体" w:cs="Times New Roman"/>
          <w:b w:val="0"/>
        </w:rPr>
        <w:t>出决算情况说明</w:t>
      </w:r>
      <w:bookmarkEnd w:id="69"/>
      <w:bookmarkEnd w:id="70"/>
      <w:bookmarkEnd w:id="71"/>
    </w:p>
    <w:p>
      <w:pPr>
        <w:spacing w:line="576" w:lineRule="exact"/>
        <w:ind w:firstLine="640" w:firstLineChars="200"/>
        <w:outlineLvl w:val="1"/>
        <w:rPr>
          <w:rFonts w:eastAsia="仿宋"/>
          <w:sz w:val="32"/>
          <w:szCs w:val="32"/>
        </w:rPr>
      </w:pPr>
      <w:r>
        <w:rPr>
          <w:rFonts w:eastAsia="仿宋"/>
          <w:sz w:val="32"/>
          <w:szCs w:val="32"/>
        </w:rPr>
        <w:t>2022年本年支出合计831.09万元，其中：基本支出752.98万元，占90.6%；项目支出78.12万元，占9.4%；上缴上级支出0万元，占0%；经营支出0万元，占0%；对附属单位补助支出0万元，占0%。</w:t>
      </w:r>
    </w:p>
    <w:p>
      <w:pPr>
        <w:pStyle w:val="2"/>
        <w:spacing w:before="93" w:line="576" w:lineRule="exact"/>
        <w:rPr>
          <w:rFonts w:ascii="Times New Roman" w:eastAsia="仿宋"/>
          <w:sz w:val="32"/>
          <w:szCs w:val="32"/>
        </w:rPr>
      </w:pPr>
      <w:r>
        <w:rPr>
          <w:rFonts w:ascii="Times New Roman"/>
          <w:sz w:val="32"/>
          <w:szCs w:val="32"/>
        </w:rPr>
        <w:drawing>
          <wp:anchor distT="0" distB="0" distL="114300" distR="114300" simplePos="0" relativeHeight="251659264" behindDoc="1" locked="0" layoutInCell="1" allowOverlap="1">
            <wp:simplePos x="0" y="0"/>
            <wp:positionH relativeFrom="column">
              <wp:posOffset>952500</wp:posOffset>
            </wp:positionH>
            <wp:positionV relativeFrom="paragraph">
              <wp:posOffset>46355</wp:posOffset>
            </wp:positionV>
            <wp:extent cx="3381375" cy="2076450"/>
            <wp:effectExtent l="0" t="0" r="0" b="0"/>
            <wp:wrapTight wrapText="bothSides">
              <wp:wrapPolygon>
                <wp:start x="6206" y="3171"/>
                <wp:lineTo x="2921" y="3171"/>
                <wp:lineTo x="2677" y="3369"/>
                <wp:lineTo x="2677" y="18429"/>
                <wp:lineTo x="12291" y="18429"/>
                <wp:lineTo x="12291" y="12683"/>
                <wp:lineTo x="19349" y="12683"/>
                <wp:lineTo x="21174" y="12088"/>
                <wp:lineTo x="21174" y="7927"/>
                <wp:lineTo x="19714" y="7530"/>
                <wp:lineTo x="12291" y="6341"/>
                <wp:lineTo x="12534" y="3567"/>
                <wp:lineTo x="12047" y="3171"/>
                <wp:lineTo x="8640" y="3171"/>
                <wp:lineTo x="6206" y="3171"/>
              </wp:wrapPolygon>
            </wp:wrapTight>
            <wp:docPr id="2" name="图表 2"/>
            <wp:cNvGraphicFramePr>
              <a:graphicFrameLocks xmlns:a="http://schemas.openxmlformats.org/drawingml/2006/main" noChangeAspect="tru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Style w:val="2"/>
        <w:spacing w:before="93" w:line="576" w:lineRule="exact"/>
        <w:rPr>
          <w:rFonts w:ascii="Times New Roman" w:eastAsia="仿宋"/>
          <w:sz w:val="32"/>
          <w:szCs w:val="32"/>
        </w:rPr>
      </w:pPr>
    </w:p>
    <w:p>
      <w:pPr>
        <w:pStyle w:val="2"/>
        <w:spacing w:before="93" w:line="576" w:lineRule="exact"/>
        <w:rPr>
          <w:rFonts w:ascii="Times New Roman" w:eastAsia="仿宋"/>
          <w:sz w:val="32"/>
          <w:szCs w:val="32"/>
        </w:rPr>
      </w:pPr>
    </w:p>
    <w:p>
      <w:pPr>
        <w:pStyle w:val="2"/>
        <w:spacing w:before="93" w:line="576" w:lineRule="exact"/>
        <w:rPr>
          <w:rFonts w:ascii="Times New Roman" w:eastAsia="仿宋"/>
          <w:sz w:val="32"/>
          <w:szCs w:val="32"/>
        </w:rPr>
      </w:pPr>
    </w:p>
    <w:p>
      <w:pPr>
        <w:spacing w:line="576" w:lineRule="exact"/>
        <w:rPr>
          <w:rFonts w:eastAsia="仿宋"/>
          <w:sz w:val="32"/>
          <w:szCs w:val="32"/>
          <w:shd w:val="pct10" w:color="auto" w:fill="FFFFFF"/>
        </w:rPr>
      </w:pPr>
    </w:p>
    <w:p>
      <w:pPr>
        <w:spacing w:line="576" w:lineRule="exact"/>
        <w:jc w:val="center"/>
        <w:rPr>
          <w:rFonts w:eastAsia="仿宋_GB2312"/>
          <w:sz w:val="32"/>
          <w:szCs w:val="32"/>
        </w:rPr>
      </w:pPr>
      <w:r>
        <w:rPr>
          <w:rFonts w:eastAsia="仿宋"/>
          <w:sz w:val="32"/>
          <w:szCs w:val="32"/>
        </w:rPr>
        <w:t>图3：支出决算结构图</w:t>
      </w:r>
    </w:p>
    <w:p>
      <w:pPr>
        <w:spacing w:line="576" w:lineRule="exact"/>
        <w:ind w:firstLine="640" w:firstLineChars="200"/>
        <w:outlineLvl w:val="1"/>
        <w:rPr>
          <w:rStyle w:val="30"/>
          <w:rFonts w:ascii="Times New Roman" w:hAnsi="Times New Roman" w:eastAsia="黑体" w:cs="Times New Roman"/>
          <w:b w:val="0"/>
        </w:rPr>
      </w:pPr>
      <w:bookmarkStart w:id="72" w:name="_Toc15377208"/>
      <w:bookmarkStart w:id="73" w:name="_Toc15396606"/>
      <w:bookmarkStart w:id="74" w:name="_Toc1621008110_WPSOffice_Level2"/>
      <w:r>
        <w:rPr>
          <w:rFonts w:eastAsia="黑体"/>
          <w:sz w:val="32"/>
          <w:szCs w:val="32"/>
        </w:rPr>
        <w:t>四、财</w:t>
      </w:r>
      <w:r>
        <w:rPr>
          <w:rStyle w:val="30"/>
          <w:rFonts w:ascii="Times New Roman" w:hAnsi="Times New Roman" w:eastAsia="黑体" w:cs="Times New Roman"/>
          <w:b w:val="0"/>
        </w:rPr>
        <w:t>政拨款收入支出决算总体情况说明</w:t>
      </w:r>
      <w:bookmarkEnd w:id="72"/>
      <w:bookmarkEnd w:id="73"/>
      <w:bookmarkEnd w:id="74"/>
    </w:p>
    <w:p>
      <w:pPr>
        <w:spacing w:line="576" w:lineRule="exact"/>
        <w:ind w:firstLine="640" w:firstLineChars="200"/>
        <w:rPr>
          <w:rFonts w:eastAsia="仿宋"/>
          <w:sz w:val="32"/>
          <w:szCs w:val="32"/>
        </w:rPr>
      </w:pPr>
      <w:r>
        <w:rPr>
          <w:rFonts w:eastAsia="仿宋"/>
          <w:sz w:val="32"/>
          <w:szCs w:val="32"/>
        </w:rPr>
        <w:t>2022年度收入总计751.44万元、支出总计831.09万元。与2022年相比，收入总计减少67.03万元、支出总计增加3.85万元，收入总计下降8.19%、支出总计增加0.46%。收入主要变动原因是按财政根据攀财资教〔2022〕108号文件要求追减指标，调整年初结转结余76.46万元，同时人员经费增加形成差额。支出变动主要原因是人员经费等发生变化。</w:t>
      </w:r>
    </w:p>
    <w:p>
      <w:pPr>
        <w:spacing w:line="576" w:lineRule="exact"/>
        <w:rPr>
          <w:rFonts w:eastAsia="仿宋"/>
          <w:sz w:val="32"/>
          <w:szCs w:val="32"/>
        </w:rPr>
      </w:pPr>
      <w:r>
        <w:rPr>
          <w:rFonts w:eastAsia="仿宋"/>
          <w:sz w:val="32"/>
          <w:szCs w:val="32"/>
        </w:rPr>
        <w:drawing>
          <wp:anchor distT="0" distB="0" distL="114300" distR="114300" simplePos="0" relativeHeight="251671552" behindDoc="1" locked="0" layoutInCell="1" allowOverlap="1">
            <wp:simplePos x="0" y="0"/>
            <wp:positionH relativeFrom="column">
              <wp:posOffset>290195</wp:posOffset>
            </wp:positionH>
            <wp:positionV relativeFrom="paragraph">
              <wp:posOffset>180340</wp:posOffset>
            </wp:positionV>
            <wp:extent cx="4486275" cy="2133600"/>
            <wp:effectExtent l="4445" t="4445" r="5080" b="14605"/>
            <wp:wrapTight wrapText="bothSides">
              <wp:wrapPolygon>
                <wp:start x="-21" y="-45"/>
                <wp:lineTo x="-21" y="21555"/>
                <wp:lineTo x="21533" y="21555"/>
                <wp:lineTo x="21533" y="-45"/>
                <wp:lineTo x="-21" y="-45"/>
              </wp:wrapPolygon>
            </wp:wrapTight>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2"/>
        <w:spacing w:before="93" w:line="576" w:lineRule="exact"/>
        <w:rPr>
          <w:rFonts w:ascii="Times New Roman" w:eastAsia="仿宋"/>
          <w:sz w:val="32"/>
          <w:szCs w:val="32"/>
        </w:rPr>
      </w:pPr>
    </w:p>
    <w:p>
      <w:pPr>
        <w:pStyle w:val="2"/>
        <w:spacing w:before="93" w:line="576" w:lineRule="exact"/>
        <w:rPr>
          <w:rFonts w:ascii="Times New Roman" w:eastAsia="仿宋"/>
          <w:sz w:val="32"/>
          <w:szCs w:val="32"/>
        </w:rPr>
      </w:pPr>
    </w:p>
    <w:p>
      <w:pPr>
        <w:pStyle w:val="2"/>
        <w:spacing w:before="93" w:line="576" w:lineRule="exact"/>
        <w:rPr>
          <w:rFonts w:ascii="Times New Roman" w:eastAsia="仿宋"/>
          <w:sz w:val="32"/>
          <w:szCs w:val="32"/>
        </w:rPr>
      </w:pPr>
    </w:p>
    <w:p>
      <w:pPr>
        <w:pStyle w:val="2"/>
        <w:spacing w:before="93" w:line="576" w:lineRule="exact"/>
        <w:rPr>
          <w:rFonts w:ascii="Times New Roman" w:eastAsia="仿宋"/>
          <w:sz w:val="32"/>
          <w:szCs w:val="32"/>
        </w:rPr>
      </w:pPr>
    </w:p>
    <w:p>
      <w:pPr>
        <w:spacing w:line="576" w:lineRule="exact"/>
        <w:rPr>
          <w:rFonts w:eastAsia="仿宋"/>
          <w:sz w:val="32"/>
          <w:szCs w:val="32"/>
        </w:rPr>
      </w:pPr>
    </w:p>
    <w:p>
      <w:pPr>
        <w:spacing w:line="576" w:lineRule="exact"/>
        <w:jc w:val="center"/>
        <w:rPr>
          <w:rFonts w:eastAsia="仿宋"/>
          <w:b/>
          <w:sz w:val="32"/>
          <w:szCs w:val="32"/>
        </w:rPr>
      </w:pPr>
      <w:r>
        <w:rPr>
          <w:rFonts w:eastAsia="仿宋"/>
          <w:sz w:val="32"/>
          <w:szCs w:val="32"/>
        </w:rPr>
        <w:t>图4：财政拨款收、支决算总计变动情况</w:t>
      </w:r>
    </w:p>
    <w:p>
      <w:pPr>
        <w:spacing w:line="576" w:lineRule="exact"/>
        <w:ind w:firstLine="640" w:firstLineChars="200"/>
        <w:outlineLvl w:val="1"/>
        <w:rPr>
          <w:rStyle w:val="30"/>
          <w:rFonts w:ascii="Times New Roman" w:hAnsi="Times New Roman" w:eastAsia="黑体" w:cs="Times New Roman"/>
          <w:b w:val="0"/>
        </w:rPr>
      </w:pPr>
      <w:bookmarkStart w:id="75" w:name="_Toc15377209"/>
      <w:bookmarkStart w:id="76" w:name="_Toc1927064730_WPSOffice_Level2"/>
      <w:bookmarkStart w:id="77" w:name="_Toc15396607"/>
      <w:r>
        <w:rPr>
          <w:rFonts w:eastAsia="黑体"/>
          <w:sz w:val="32"/>
          <w:szCs w:val="32"/>
        </w:rPr>
        <w:t>五、</w:t>
      </w:r>
      <w:r>
        <w:rPr>
          <w:rFonts w:eastAsia="黑体"/>
          <w:b/>
          <w:sz w:val="32"/>
          <w:szCs w:val="32"/>
        </w:rPr>
        <w:t>一</w:t>
      </w:r>
      <w:r>
        <w:rPr>
          <w:rStyle w:val="30"/>
          <w:rFonts w:ascii="Times New Roman" w:hAnsi="Times New Roman" w:eastAsia="黑体" w:cs="Times New Roman"/>
          <w:b w:val="0"/>
        </w:rPr>
        <w:t>般公共预算财政拨款支出决算情况说明</w:t>
      </w:r>
      <w:bookmarkEnd w:id="75"/>
      <w:bookmarkEnd w:id="76"/>
      <w:bookmarkEnd w:id="77"/>
    </w:p>
    <w:p>
      <w:pPr>
        <w:spacing w:line="576" w:lineRule="exact"/>
        <w:ind w:firstLine="642" w:firstLineChars="200"/>
        <w:outlineLvl w:val="2"/>
        <w:rPr>
          <w:rFonts w:eastAsia="仿宋"/>
          <w:b/>
          <w:sz w:val="32"/>
          <w:szCs w:val="32"/>
        </w:rPr>
      </w:pPr>
      <w:bookmarkStart w:id="78" w:name="_Toc15377210"/>
      <w:r>
        <w:rPr>
          <w:rFonts w:eastAsia="仿宋"/>
          <w:b/>
          <w:sz w:val="32"/>
          <w:szCs w:val="32"/>
        </w:rPr>
        <w:t>（一）一般公共预算财政拨款支出决算总体情况</w:t>
      </w:r>
      <w:bookmarkEnd w:id="78"/>
    </w:p>
    <w:p>
      <w:pPr>
        <w:spacing w:line="576" w:lineRule="exact"/>
        <w:ind w:firstLine="640" w:firstLineChars="200"/>
        <w:rPr>
          <w:rFonts w:eastAsia="仿宋"/>
          <w:sz w:val="32"/>
          <w:szCs w:val="32"/>
        </w:rPr>
      </w:pPr>
      <w:r>
        <w:rPr>
          <w:rFonts w:eastAsia="仿宋"/>
          <w:sz w:val="32"/>
          <w:szCs w:val="32"/>
        </w:rPr>
        <w:t>2022年一般公共预算财政拨款支出827.98万元，占本年支出合计的99.63%。与2021年相比，一般公共预算财政拨款支出增加0.74万元，增长0.009%。主要变动原因是人员经费增加。</w:t>
      </w:r>
    </w:p>
    <w:p>
      <w:pPr>
        <w:spacing w:line="576" w:lineRule="exact"/>
        <w:ind w:firstLine="640" w:firstLineChars="200"/>
        <w:rPr>
          <w:rFonts w:eastAsia="仿宋"/>
          <w:sz w:val="32"/>
          <w:szCs w:val="32"/>
        </w:rPr>
      </w:pPr>
      <w:r>
        <w:rPr>
          <w:rFonts w:eastAsia="仿宋_GB2312"/>
          <w:sz w:val="32"/>
          <w:szCs w:val="32"/>
        </w:rPr>
        <w:drawing>
          <wp:anchor distT="0" distB="0" distL="114300" distR="114300" simplePos="0" relativeHeight="251674624" behindDoc="1" locked="0" layoutInCell="1" allowOverlap="1">
            <wp:simplePos x="0" y="0"/>
            <wp:positionH relativeFrom="column">
              <wp:posOffset>1270000</wp:posOffset>
            </wp:positionH>
            <wp:positionV relativeFrom="paragraph">
              <wp:posOffset>6985</wp:posOffset>
            </wp:positionV>
            <wp:extent cx="4029075" cy="1971675"/>
            <wp:effectExtent l="0" t="0" r="0" b="0"/>
            <wp:wrapTight wrapText="bothSides">
              <wp:wrapPolygon>
                <wp:start x="102" y="417"/>
                <wp:lineTo x="0" y="2713"/>
                <wp:lineTo x="409" y="3757"/>
                <wp:lineTo x="102" y="3757"/>
                <wp:lineTo x="102" y="17739"/>
                <wp:lineTo x="3268" y="19409"/>
                <wp:lineTo x="4596" y="19826"/>
                <wp:lineTo x="10621" y="19826"/>
                <wp:lineTo x="12664" y="17530"/>
                <wp:lineTo x="12664" y="13774"/>
                <wp:lineTo x="18281" y="13774"/>
                <wp:lineTo x="21038" y="12730"/>
                <wp:lineTo x="21140" y="9183"/>
                <wp:lineTo x="20528" y="8765"/>
                <wp:lineTo x="12664" y="7096"/>
                <wp:lineTo x="12868" y="1043"/>
                <wp:lineTo x="12051" y="835"/>
                <wp:lineTo x="1328" y="417"/>
                <wp:lineTo x="102" y="417"/>
              </wp:wrapPolygon>
            </wp:wrapTight>
            <wp:docPr id="6" name="图表 6"/>
            <wp:cNvGraphicFramePr>
              <a:graphicFrameLocks xmlns:a="http://schemas.openxmlformats.org/drawingml/2006/main" noChangeAspect="tru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576" w:lineRule="exact"/>
        <w:ind w:firstLine="640" w:firstLineChars="200"/>
        <w:rPr>
          <w:rFonts w:eastAsia="仿宋"/>
          <w:sz w:val="32"/>
          <w:szCs w:val="32"/>
        </w:rPr>
      </w:pPr>
    </w:p>
    <w:p>
      <w:pPr>
        <w:spacing w:line="576" w:lineRule="exact"/>
        <w:ind w:firstLine="640" w:firstLineChars="200"/>
        <w:rPr>
          <w:rFonts w:eastAsia="仿宋"/>
          <w:sz w:val="32"/>
          <w:szCs w:val="32"/>
        </w:rPr>
      </w:pPr>
    </w:p>
    <w:p>
      <w:pPr>
        <w:spacing w:line="576" w:lineRule="exact"/>
        <w:ind w:firstLine="640" w:firstLineChars="200"/>
        <w:rPr>
          <w:rFonts w:eastAsia="仿宋"/>
          <w:sz w:val="32"/>
          <w:szCs w:val="32"/>
        </w:rPr>
      </w:pPr>
    </w:p>
    <w:p>
      <w:pPr>
        <w:spacing w:line="576" w:lineRule="exact"/>
        <w:ind w:firstLine="640" w:firstLineChars="200"/>
        <w:rPr>
          <w:rFonts w:eastAsia="仿宋"/>
          <w:sz w:val="32"/>
          <w:szCs w:val="32"/>
        </w:rPr>
      </w:pPr>
    </w:p>
    <w:p>
      <w:pPr>
        <w:spacing w:line="576" w:lineRule="exact"/>
        <w:ind w:firstLine="640" w:firstLineChars="200"/>
        <w:rPr>
          <w:rFonts w:eastAsia="仿宋"/>
          <w:sz w:val="32"/>
          <w:szCs w:val="32"/>
        </w:rPr>
      </w:pPr>
      <w:r>
        <w:rPr>
          <w:rFonts w:eastAsia="仿宋"/>
          <w:sz w:val="32"/>
          <w:szCs w:val="32"/>
        </w:rPr>
        <w:t>图5：一般公共预算财政拨款支出决算变动情况</w:t>
      </w:r>
    </w:p>
    <w:p>
      <w:pPr>
        <w:spacing w:line="576" w:lineRule="exact"/>
        <w:ind w:firstLine="642" w:firstLineChars="200"/>
        <w:outlineLvl w:val="2"/>
        <w:rPr>
          <w:rFonts w:eastAsia="仿宋"/>
          <w:b/>
          <w:sz w:val="32"/>
          <w:szCs w:val="32"/>
        </w:rPr>
      </w:pPr>
      <w:bookmarkStart w:id="79" w:name="_Toc15377211"/>
      <w:r>
        <w:rPr>
          <w:rFonts w:eastAsia="仿宋"/>
          <w:b/>
          <w:sz w:val="32"/>
          <w:szCs w:val="32"/>
        </w:rPr>
        <w:t>（二）一般公共预算财政拨款支出决算结构情况</w:t>
      </w:r>
      <w:bookmarkEnd w:id="79"/>
    </w:p>
    <w:p>
      <w:pPr>
        <w:spacing w:line="576" w:lineRule="exact"/>
        <w:ind w:firstLine="640"/>
        <w:rPr>
          <w:rFonts w:eastAsia="仿宋"/>
          <w:sz w:val="32"/>
          <w:szCs w:val="32"/>
        </w:rPr>
      </w:pPr>
      <w:r>
        <w:rPr>
          <w:rFonts w:eastAsia="仿宋"/>
          <w:sz w:val="32"/>
          <w:szCs w:val="32"/>
        </w:rPr>
        <w:t>2022年一般公共预算财政拨款支出827.98万元，主要用于以下方面:</w:t>
      </w:r>
      <w:r>
        <w:rPr>
          <w:rFonts w:eastAsia="仿宋"/>
          <w:b/>
          <w:sz w:val="32"/>
          <w:szCs w:val="32"/>
        </w:rPr>
        <w:t>一般公共服务</w:t>
      </w:r>
      <w:r>
        <w:rPr>
          <w:rFonts w:eastAsia="仿宋"/>
          <w:b/>
          <w:bCs/>
          <w:sz w:val="32"/>
          <w:szCs w:val="32"/>
        </w:rPr>
        <w:t>支出</w:t>
      </w:r>
      <w:r>
        <w:rPr>
          <w:rFonts w:eastAsia="仿宋"/>
          <w:sz w:val="32"/>
          <w:szCs w:val="32"/>
        </w:rPr>
        <w:t>626.05万元，占75.61%；</w:t>
      </w:r>
      <w:r>
        <w:rPr>
          <w:rFonts w:eastAsia="仿宋"/>
          <w:b/>
          <w:sz w:val="32"/>
          <w:szCs w:val="32"/>
        </w:rPr>
        <w:t>教育支出</w:t>
      </w:r>
      <w:r>
        <w:rPr>
          <w:rFonts w:eastAsia="仿宋"/>
          <w:sz w:val="32"/>
          <w:szCs w:val="32"/>
        </w:rPr>
        <w:t>0万元，占0%；</w:t>
      </w:r>
      <w:r>
        <w:rPr>
          <w:rFonts w:eastAsia="仿宋"/>
          <w:b/>
          <w:sz w:val="32"/>
          <w:szCs w:val="32"/>
        </w:rPr>
        <w:t>科学技术</w:t>
      </w:r>
      <w:r>
        <w:rPr>
          <w:rFonts w:eastAsia="仿宋"/>
          <w:b/>
          <w:bCs/>
          <w:sz w:val="32"/>
          <w:szCs w:val="32"/>
        </w:rPr>
        <w:t>支出</w:t>
      </w:r>
      <w:r>
        <w:rPr>
          <w:rFonts w:eastAsia="仿宋"/>
          <w:sz w:val="32"/>
          <w:szCs w:val="32"/>
        </w:rPr>
        <w:t>0万元，占0%；</w:t>
      </w:r>
      <w:r>
        <w:rPr>
          <w:rFonts w:eastAsia="仿宋"/>
          <w:b/>
          <w:bCs/>
          <w:sz w:val="32"/>
          <w:szCs w:val="32"/>
        </w:rPr>
        <w:t>文化旅游体育与传媒支出0万元，占0%</w:t>
      </w:r>
      <w:r>
        <w:rPr>
          <w:rFonts w:eastAsia="仿宋"/>
          <w:sz w:val="32"/>
          <w:szCs w:val="32"/>
        </w:rPr>
        <w:t>；</w:t>
      </w:r>
      <w:r>
        <w:rPr>
          <w:rFonts w:eastAsia="仿宋"/>
          <w:b/>
          <w:sz w:val="32"/>
          <w:szCs w:val="32"/>
        </w:rPr>
        <w:t>社会保障和就业</w:t>
      </w:r>
      <w:r>
        <w:rPr>
          <w:rFonts w:eastAsia="仿宋"/>
          <w:b/>
          <w:bCs/>
          <w:sz w:val="32"/>
          <w:szCs w:val="32"/>
        </w:rPr>
        <w:t>支出</w:t>
      </w:r>
      <w:r>
        <w:rPr>
          <w:rFonts w:eastAsia="仿宋"/>
          <w:sz w:val="32"/>
          <w:szCs w:val="32"/>
        </w:rPr>
        <w:t>148.82万元，占17.98%；</w:t>
      </w:r>
      <w:r>
        <w:rPr>
          <w:rFonts w:eastAsia="仿宋"/>
          <w:b/>
          <w:bCs/>
          <w:sz w:val="32"/>
          <w:szCs w:val="32"/>
        </w:rPr>
        <w:t>卫生健康支出</w:t>
      </w:r>
      <w:r>
        <w:rPr>
          <w:rFonts w:eastAsia="仿宋"/>
          <w:sz w:val="32"/>
          <w:szCs w:val="32"/>
        </w:rPr>
        <w:t>0.36万元，占0.04%；</w:t>
      </w:r>
      <w:r>
        <w:rPr>
          <w:rFonts w:eastAsia="仿宋"/>
          <w:b/>
          <w:bCs/>
          <w:sz w:val="32"/>
          <w:szCs w:val="32"/>
        </w:rPr>
        <w:t>住房保障支出</w:t>
      </w:r>
      <w:r>
        <w:rPr>
          <w:rFonts w:eastAsia="仿宋"/>
          <w:sz w:val="32"/>
          <w:szCs w:val="32"/>
        </w:rPr>
        <w:t>52.75万元，占6.37%。</w:t>
      </w:r>
    </w:p>
    <w:p>
      <w:pPr>
        <w:pStyle w:val="2"/>
        <w:spacing w:before="93" w:line="576" w:lineRule="exact"/>
        <w:rPr>
          <w:rFonts w:ascii="Times New Roman" w:eastAsia="仿宋"/>
          <w:sz w:val="32"/>
          <w:szCs w:val="32"/>
        </w:rPr>
      </w:pPr>
      <w:r>
        <w:rPr>
          <w:rFonts w:ascii="Times New Roman" w:eastAsia="仿宋"/>
          <w:b/>
          <w:i/>
          <w:sz w:val="32"/>
          <w:szCs w:val="32"/>
        </w:rPr>
        <w:drawing>
          <wp:anchor distT="0" distB="0" distL="114300" distR="114300" simplePos="0" relativeHeight="251679744" behindDoc="1" locked="0" layoutInCell="1" allowOverlap="1">
            <wp:simplePos x="0" y="0"/>
            <wp:positionH relativeFrom="column">
              <wp:posOffset>889000</wp:posOffset>
            </wp:positionH>
            <wp:positionV relativeFrom="paragraph">
              <wp:posOffset>27940</wp:posOffset>
            </wp:positionV>
            <wp:extent cx="3486150" cy="1828800"/>
            <wp:effectExtent l="0" t="0" r="0" b="0"/>
            <wp:wrapTight wrapText="bothSides">
              <wp:wrapPolygon>
                <wp:start x="2479" y="2250"/>
                <wp:lineTo x="2479" y="19575"/>
                <wp:lineTo x="11685" y="19575"/>
                <wp:lineTo x="16643" y="19125"/>
                <wp:lineTo x="21246" y="18000"/>
                <wp:lineTo x="21364" y="2925"/>
                <wp:lineTo x="20420" y="2700"/>
                <wp:lineTo x="11685" y="2250"/>
                <wp:lineTo x="2479" y="2250"/>
              </wp:wrapPolygon>
            </wp:wrapTight>
            <wp:docPr id="7" name="图表 7"/>
            <wp:cNvGraphicFramePr>
              <a:graphicFrameLocks xmlns:a="http://schemas.openxmlformats.org/drawingml/2006/main" noChangeAspect="tru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Style w:val="2"/>
        <w:spacing w:before="93" w:line="576" w:lineRule="exact"/>
        <w:rPr>
          <w:rFonts w:ascii="Times New Roman" w:eastAsia="仿宋"/>
          <w:sz w:val="32"/>
          <w:szCs w:val="32"/>
        </w:rPr>
      </w:pPr>
    </w:p>
    <w:p>
      <w:pPr>
        <w:pStyle w:val="2"/>
        <w:spacing w:before="93" w:line="576" w:lineRule="exact"/>
        <w:rPr>
          <w:rFonts w:ascii="Times New Roman" w:eastAsia="仿宋"/>
          <w:sz w:val="32"/>
          <w:szCs w:val="32"/>
        </w:rPr>
      </w:pPr>
    </w:p>
    <w:p>
      <w:pPr>
        <w:spacing w:line="576" w:lineRule="exact"/>
        <w:rPr>
          <w:rFonts w:eastAsia="仿宋"/>
          <w:sz w:val="32"/>
          <w:szCs w:val="32"/>
        </w:rPr>
      </w:pPr>
    </w:p>
    <w:p>
      <w:pPr>
        <w:spacing w:line="576" w:lineRule="exact"/>
        <w:jc w:val="center"/>
        <w:rPr>
          <w:rFonts w:eastAsia="仿宋"/>
          <w:sz w:val="32"/>
          <w:szCs w:val="32"/>
        </w:rPr>
      </w:pPr>
      <w:r>
        <w:rPr>
          <w:rFonts w:eastAsia="仿宋"/>
          <w:sz w:val="32"/>
          <w:szCs w:val="32"/>
        </w:rPr>
        <w:t>图6：一般公共预算财政拨款支出决算结构</w:t>
      </w:r>
    </w:p>
    <w:p>
      <w:pPr>
        <w:spacing w:line="576" w:lineRule="exact"/>
        <w:ind w:firstLine="642" w:firstLineChars="200"/>
        <w:outlineLvl w:val="2"/>
        <w:rPr>
          <w:rFonts w:eastAsia="仿宋"/>
          <w:b/>
          <w:sz w:val="32"/>
          <w:szCs w:val="32"/>
        </w:rPr>
      </w:pPr>
      <w:bookmarkStart w:id="80" w:name="_Toc15377212"/>
      <w:r>
        <w:rPr>
          <w:rFonts w:eastAsia="仿宋"/>
          <w:b/>
          <w:sz w:val="32"/>
          <w:szCs w:val="32"/>
        </w:rPr>
        <w:t>（三）一般公共预算财政拨款支出决算具体情况</w:t>
      </w:r>
      <w:bookmarkEnd w:id="80"/>
    </w:p>
    <w:p>
      <w:pPr>
        <w:spacing w:line="576" w:lineRule="exact"/>
        <w:ind w:firstLine="642" w:firstLineChars="200"/>
        <w:outlineLvl w:val="2"/>
        <w:rPr>
          <w:rFonts w:eastAsia="仿宋"/>
          <w:sz w:val="32"/>
          <w:szCs w:val="32"/>
        </w:rPr>
      </w:pPr>
      <w:bookmarkStart w:id="81" w:name="_Toc15378460"/>
      <w:bookmarkStart w:id="82" w:name="_Toc15377444"/>
      <w:bookmarkStart w:id="83" w:name="_Toc15377213"/>
      <w:r>
        <w:rPr>
          <w:rFonts w:eastAsia="仿宋"/>
          <w:b/>
          <w:sz w:val="32"/>
          <w:szCs w:val="32"/>
        </w:rPr>
        <w:t>2022年一般公共预算支出决算数为827.98万元</w:t>
      </w:r>
      <w:r>
        <w:rPr>
          <w:rFonts w:eastAsia="仿宋"/>
          <w:sz w:val="32"/>
          <w:szCs w:val="32"/>
        </w:rPr>
        <w:t>，</w:t>
      </w:r>
      <w:r>
        <w:rPr>
          <w:rStyle w:val="17"/>
          <w:rFonts w:eastAsia="仿宋"/>
          <w:bCs/>
          <w:sz w:val="32"/>
          <w:szCs w:val="32"/>
        </w:rPr>
        <w:t>完成预算99.63%。其中：</w:t>
      </w:r>
      <w:bookmarkEnd w:id="81"/>
      <w:bookmarkEnd w:id="82"/>
      <w:bookmarkEnd w:id="83"/>
    </w:p>
    <w:p>
      <w:pPr>
        <w:spacing w:line="576" w:lineRule="exact"/>
        <w:ind w:firstLine="642" w:firstLineChars="200"/>
        <w:rPr>
          <w:rStyle w:val="17"/>
          <w:rFonts w:eastAsia="仿宋"/>
          <w:b w:val="0"/>
          <w:bCs/>
          <w:sz w:val="32"/>
          <w:szCs w:val="32"/>
        </w:rPr>
      </w:pPr>
      <w:r>
        <w:rPr>
          <w:rStyle w:val="17"/>
          <w:rFonts w:eastAsia="仿宋"/>
          <w:bCs/>
          <w:sz w:val="32"/>
          <w:szCs w:val="32"/>
        </w:rPr>
        <w:t>（1）一般公共服务（类）档案事务（款）行政运行（项）:</w:t>
      </w:r>
      <w:r>
        <w:rPr>
          <w:rStyle w:val="17"/>
          <w:rFonts w:eastAsia="仿宋"/>
          <w:b w:val="0"/>
          <w:bCs/>
          <w:sz w:val="32"/>
          <w:szCs w:val="32"/>
        </w:rPr>
        <w:t xml:space="preserve"> 支出决算547.29万元，完成预算100%，决算数等于预算数的主要原因无。</w:t>
      </w:r>
    </w:p>
    <w:p>
      <w:pPr>
        <w:spacing w:line="576" w:lineRule="exact"/>
        <w:ind w:firstLine="642" w:firstLineChars="200"/>
        <w:rPr>
          <w:rStyle w:val="17"/>
          <w:rFonts w:eastAsia="仿宋"/>
          <w:b w:val="0"/>
          <w:bCs/>
          <w:sz w:val="32"/>
          <w:szCs w:val="32"/>
        </w:rPr>
      </w:pPr>
      <w:r>
        <w:rPr>
          <w:rStyle w:val="17"/>
          <w:rFonts w:eastAsia="仿宋"/>
          <w:bCs/>
          <w:sz w:val="32"/>
          <w:szCs w:val="32"/>
        </w:rPr>
        <w:t>（2）一般公共服务（类）档案事务（款）一般行政管理事务（项）:</w:t>
      </w:r>
      <w:r>
        <w:rPr>
          <w:rStyle w:val="17"/>
          <w:rFonts w:eastAsia="仿宋"/>
          <w:b w:val="0"/>
          <w:bCs/>
          <w:sz w:val="32"/>
          <w:szCs w:val="32"/>
        </w:rPr>
        <w:t xml:space="preserve"> 支出决算为75万元，完成预算96.3%，决算数小于预算数的主要原因为全年预算数包含往年结转经费3.1万元，不列为一般公共预算财政拨款支出。</w:t>
      </w:r>
    </w:p>
    <w:p>
      <w:pPr>
        <w:spacing w:line="576" w:lineRule="exact"/>
        <w:ind w:firstLine="642" w:firstLineChars="200"/>
        <w:rPr>
          <w:rStyle w:val="17"/>
          <w:rFonts w:eastAsia="仿宋"/>
          <w:b w:val="0"/>
          <w:bCs/>
          <w:sz w:val="32"/>
          <w:szCs w:val="32"/>
        </w:rPr>
      </w:pPr>
      <w:r>
        <w:rPr>
          <w:rStyle w:val="17"/>
          <w:rFonts w:eastAsia="仿宋"/>
          <w:bCs/>
          <w:sz w:val="32"/>
          <w:szCs w:val="32"/>
        </w:rPr>
        <w:t>（3）一般公共服务（类）档案事务（款）档案馆（项）:</w:t>
      </w:r>
      <w:r>
        <w:rPr>
          <w:rStyle w:val="17"/>
          <w:rFonts w:eastAsia="仿宋"/>
          <w:b w:val="0"/>
          <w:bCs/>
          <w:sz w:val="32"/>
          <w:szCs w:val="32"/>
        </w:rPr>
        <w:t xml:space="preserve"> 支出决算为2.24万元，完成预算100%，决算数等于预算数的主要原因无。</w:t>
      </w:r>
    </w:p>
    <w:p>
      <w:pPr>
        <w:spacing w:line="576" w:lineRule="exact"/>
        <w:ind w:firstLine="642" w:firstLineChars="200"/>
        <w:rPr>
          <w:rStyle w:val="17"/>
          <w:rFonts w:eastAsia="仿宋"/>
          <w:b w:val="0"/>
          <w:bCs/>
          <w:sz w:val="32"/>
          <w:szCs w:val="32"/>
        </w:rPr>
      </w:pPr>
      <w:r>
        <w:rPr>
          <w:rStyle w:val="17"/>
          <w:rFonts w:eastAsia="仿宋"/>
          <w:bCs/>
          <w:sz w:val="32"/>
          <w:szCs w:val="32"/>
        </w:rPr>
        <w:t>（4）一般公共服务（类）组织事务（款）其他组织事务支出（项）:</w:t>
      </w:r>
      <w:r>
        <w:rPr>
          <w:rStyle w:val="17"/>
          <w:rFonts w:eastAsia="仿宋"/>
          <w:b w:val="0"/>
          <w:bCs/>
          <w:sz w:val="32"/>
          <w:szCs w:val="32"/>
        </w:rPr>
        <w:t xml:space="preserve"> 支出决算为1.53万元，完成预算100%，决算数等于预算数的主要原因无。</w:t>
      </w:r>
    </w:p>
    <w:p>
      <w:pPr>
        <w:spacing w:line="576" w:lineRule="exact"/>
        <w:ind w:firstLine="642" w:firstLineChars="200"/>
        <w:rPr>
          <w:rFonts w:eastAsia="仿宋"/>
          <w:bCs/>
          <w:sz w:val="32"/>
          <w:szCs w:val="32"/>
        </w:rPr>
      </w:pPr>
      <w:r>
        <w:rPr>
          <w:rStyle w:val="17"/>
          <w:rFonts w:eastAsia="仿宋"/>
          <w:bCs/>
          <w:sz w:val="32"/>
          <w:szCs w:val="32"/>
        </w:rPr>
        <w:t>（5）社会保障和就业（类）行政事业单位养老（款）退休支出（项）:</w:t>
      </w:r>
      <w:r>
        <w:rPr>
          <w:rStyle w:val="17"/>
          <w:rFonts w:eastAsia="仿宋"/>
          <w:b w:val="0"/>
          <w:bCs/>
          <w:sz w:val="32"/>
          <w:szCs w:val="32"/>
        </w:rPr>
        <w:t xml:space="preserve"> 支出决算为85.68万元，完成预算100%，决算数等于预算数的主要原因无。</w:t>
      </w:r>
    </w:p>
    <w:p>
      <w:pPr>
        <w:spacing w:line="576" w:lineRule="exact"/>
        <w:ind w:firstLine="642" w:firstLineChars="200"/>
        <w:rPr>
          <w:rStyle w:val="17"/>
          <w:rFonts w:eastAsia="仿宋"/>
          <w:b w:val="0"/>
          <w:bCs/>
          <w:sz w:val="32"/>
          <w:szCs w:val="32"/>
        </w:rPr>
      </w:pPr>
      <w:r>
        <w:rPr>
          <w:rStyle w:val="17"/>
          <w:rFonts w:eastAsia="仿宋"/>
          <w:bCs/>
          <w:sz w:val="32"/>
          <w:szCs w:val="32"/>
        </w:rPr>
        <w:t>（6）社会保障和就业（类）行政事业单位养老（款）机关事业基本养老保险支出（项）:</w:t>
      </w:r>
      <w:r>
        <w:rPr>
          <w:rStyle w:val="17"/>
          <w:rFonts w:eastAsia="仿宋"/>
          <w:b w:val="0"/>
          <w:bCs/>
          <w:sz w:val="32"/>
          <w:szCs w:val="32"/>
        </w:rPr>
        <w:t xml:space="preserve"> 支出决算为39.73万元，完成预算100%，决算数等于预算数的主要原因无。</w:t>
      </w:r>
    </w:p>
    <w:p>
      <w:pPr>
        <w:spacing w:line="576" w:lineRule="exact"/>
        <w:ind w:firstLine="642" w:firstLineChars="200"/>
        <w:rPr>
          <w:rStyle w:val="17"/>
          <w:rFonts w:eastAsia="仿宋"/>
          <w:b w:val="0"/>
          <w:bCs/>
          <w:sz w:val="32"/>
          <w:szCs w:val="32"/>
        </w:rPr>
      </w:pPr>
      <w:r>
        <w:rPr>
          <w:rStyle w:val="17"/>
          <w:rFonts w:eastAsia="仿宋"/>
          <w:bCs/>
          <w:sz w:val="32"/>
          <w:szCs w:val="32"/>
        </w:rPr>
        <w:t>（7）社会保障和就业（类）抚恤（款）死亡抚恤支出（项）:</w:t>
      </w:r>
      <w:r>
        <w:rPr>
          <w:rStyle w:val="17"/>
          <w:rFonts w:eastAsia="仿宋"/>
          <w:b w:val="0"/>
          <w:bCs/>
          <w:sz w:val="32"/>
          <w:szCs w:val="32"/>
        </w:rPr>
        <w:t xml:space="preserve"> 支出决算为23.4万元，完成预算100%，决算数等于预算数的主要原因无。</w:t>
      </w:r>
    </w:p>
    <w:p>
      <w:pPr>
        <w:spacing w:line="576" w:lineRule="exact"/>
        <w:ind w:firstLine="642" w:firstLineChars="200"/>
        <w:rPr>
          <w:rFonts w:eastAsia="仿宋"/>
          <w:bCs/>
          <w:sz w:val="32"/>
          <w:szCs w:val="32"/>
        </w:rPr>
      </w:pPr>
      <w:r>
        <w:rPr>
          <w:rStyle w:val="17"/>
          <w:rFonts w:eastAsia="仿宋"/>
          <w:bCs/>
          <w:sz w:val="32"/>
          <w:szCs w:val="32"/>
        </w:rPr>
        <w:t>（8）卫生健康（类）其他卫生健康（款）其他卫生健康支出（项）:</w:t>
      </w:r>
      <w:r>
        <w:rPr>
          <w:rStyle w:val="17"/>
          <w:rFonts w:eastAsia="仿宋"/>
          <w:b w:val="0"/>
          <w:bCs/>
          <w:sz w:val="32"/>
          <w:szCs w:val="32"/>
        </w:rPr>
        <w:t xml:space="preserve"> 支出决算为0.36万元，完成预算100%，决算数等于预算数的主要原因无。</w:t>
      </w:r>
    </w:p>
    <w:p>
      <w:pPr>
        <w:spacing w:line="576" w:lineRule="exact"/>
        <w:ind w:firstLine="642" w:firstLineChars="200"/>
        <w:rPr>
          <w:rFonts w:eastAsia="仿宋"/>
          <w:b/>
          <w:sz w:val="32"/>
          <w:szCs w:val="32"/>
        </w:rPr>
      </w:pPr>
      <w:r>
        <w:rPr>
          <w:rStyle w:val="17"/>
          <w:rFonts w:eastAsia="仿宋"/>
          <w:bCs/>
          <w:sz w:val="32"/>
          <w:szCs w:val="32"/>
        </w:rPr>
        <w:t>（9）住房保障（类）住房改革（款）住房公积金支出（项）:</w:t>
      </w:r>
      <w:r>
        <w:rPr>
          <w:rStyle w:val="17"/>
          <w:rFonts w:eastAsia="仿宋"/>
          <w:b w:val="0"/>
          <w:bCs/>
          <w:sz w:val="32"/>
          <w:szCs w:val="32"/>
        </w:rPr>
        <w:t xml:space="preserve"> 支出决算为52.74万元，完成预算100%，决算数等于预算数的主要原因无。</w:t>
      </w:r>
    </w:p>
    <w:p>
      <w:pPr>
        <w:tabs>
          <w:tab w:val="right" w:pos="8306"/>
        </w:tabs>
        <w:spacing w:line="576" w:lineRule="exact"/>
        <w:ind w:firstLine="640"/>
        <w:outlineLvl w:val="1"/>
        <w:rPr>
          <w:rStyle w:val="30"/>
          <w:rFonts w:ascii="Times New Roman" w:hAnsi="Times New Roman" w:cs="Times New Roman"/>
        </w:rPr>
      </w:pPr>
      <w:bookmarkStart w:id="84" w:name="_Toc803164031_WPSOffice_Level2"/>
      <w:bookmarkStart w:id="85" w:name="_Toc15377214"/>
      <w:bookmarkStart w:id="86" w:name="_Toc15396608"/>
      <w:r>
        <w:rPr>
          <w:rFonts w:eastAsia="黑体"/>
          <w:sz w:val="32"/>
          <w:szCs w:val="32"/>
        </w:rPr>
        <w:t>六</w:t>
      </w:r>
      <w:r>
        <w:rPr>
          <w:rFonts w:eastAsia="黑体"/>
          <w:b/>
          <w:sz w:val="32"/>
          <w:szCs w:val="32"/>
        </w:rPr>
        <w:t>、一</w:t>
      </w:r>
      <w:r>
        <w:rPr>
          <w:rStyle w:val="30"/>
          <w:rFonts w:ascii="Times New Roman" w:hAnsi="Times New Roman" w:eastAsia="黑体" w:cs="Times New Roman"/>
          <w:b w:val="0"/>
        </w:rPr>
        <w:t>般公共预算财政拨款基本支出决算情况说明</w:t>
      </w:r>
      <w:bookmarkEnd w:id="84"/>
      <w:bookmarkEnd w:id="85"/>
      <w:bookmarkEnd w:id="86"/>
      <w:r>
        <w:rPr>
          <w:rStyle w:val="30"/>
          <w:rFonts w:ascii="Times New Roman" w:hAnsi="Times New Roman" w:eastAsia="黑体" w:cs="Times New Roman"/>
          <w:b w:val="0"/>
        </w:rPr>
        <w:tab/>
      </w:r>
    </w:p>
    <w:p>
      <w:pPr>
        <w:spacing w:line="576" w:lineRule="exact"/>
        <w:ind w:firstLine="645"/>
        <w:rPr>
          <w:rFonts w:eastAsia="仿宋"/>
          <w:sz w:val="32"/>
          <w:szCs w:val="32"/>
        </w:rPr>
      </w:pPr>
      <w:r>
        <w:rPr>
          <w:rFonts w:eastAsia="仿宋"/>
          <w:sz w:val="32"/>
          <w:szCs w:val="32"/>
        </w:rPr>
        <w:t>2022年一般公共预算财政拨款基本支出827.98万元，其中：</w:t>
      </w:r>
    </w:p>
    <w:p>
      <w:pPr>
        <w:spacing w:line="576" w:lineRule="exact"/>
        <w:ind w:firstLine="645"/>
        <w:rPr>
          <w:rFonts w:eastAsia="仿宋"/>
          <w:sz w:val="32"/>
          <w:szCs w:val="32"/>
        </w:rPr>
      </w:pPr>
      <w:r>
        <w:rPr>
          <w:rFonts w:eastAsia="仿宋"/>
          <w:sz w:val="32"/>
          <w:szCs w:val="32"/>
        </w:rPr>
        <w:t>人员经费695.5万元，主要包括：基本工资141.03万元、津贴补贴261.73万元、奖金11.31万元、伙食补助费0万元、绩效工资0万元、机关事业单位基本养老保险缴费39.73万元、职业年金缴费0万元、职工基本医疗保险缴费37.19万元、公务员医疗补助缴费19.72万元、其他社会保障缴费2.16万元、其他工资福利支出19.03万元、离休费0万元、退休费0万元、抚恤金23.4万元、生活补助85.49万元、医疗费补助0.08万元、奖励金0万元、住房公积金52.74万元、其他对个人和家庭的补助支出1.89万元等。</w:t>
      </w:r>
      <w:r>
        <w:rPr>
          <w:rFonts w:eastAsia="仿宋"/>
          <w:sz w:val="32"/>
          <w:szCs w:val="32"/>
        </w:rPr>
        <w:br w:type="textWrapping"/>
      </w:r>
      <w:r>
        <w:rPr>
          <w:rFonts w:eastAsia="仿宋"/>
          <w:sz w:val="32"/>
          <w:szCs w:val="32"/>
        </w:rPr>
        <w:t>　　公用经费57.46万元，主要包括：办公费7.55万元、印刷费0万元、咨询费0万元、手续费0万元、水费0.6万元、电费0万元、邮电费5.86万元、取暖费0万元、物业管理费0万元、差旅费3.56万元、因公出国（境）费用0万元、维修（护）费0万元、租赁费0万元、会议费0.66万元、培训费0万元、公务接待费0.18万元、劳务费0万元、委托业务费0万元、工会经费7.66万元、福利费0.99万元、公务用车运行维护费0.73万元、其他交通费28.36万元、税金及附加费用0万元、其他商品和服务支出1.32万元、办公设备购置0万元、专用设备购置0万元、信息网络及软件购置更新0万元、其他资本性支出0万元。</w:t>
      </w:r>
    </w:p>
    <w:p>
      <w:pPr>
        <w:spacing w:line="576" w:lineRule="exact"/>
        <w:ind w:firstLine="640"/>
        <w:outlineLvl w:val="1"/>
        <w:rPr>
          <w:rStyle w:val="30"/>
          <w:rFonts w:ascii="Times New Roman" w:hAnsi="Times New Roman" w:eastAsia="黑体" w:cs="Times New Roman"/>
          <w:b w:val="0"/>
        </w:rPr>
      </w:pPr>
      <w:bookmarkStart w:id="87" w:name="_Toc15396609"/>
      <w:bookmarkStart w:id="88" w:name="_Toc15377215"/>
      <w:bookmarkStart w:id="89" w:name="_Toc1203026573_WPSOffice_Level2"/>
      <w:r>
        <w:rPr>
          <w:rFonts w:eastAsia="黑体"/>
          <w:sz w:val="32"/>
          <w:szCs w:val="32"/>
        </w:rPr>
        <w:t>七、</w:t>
      </w:r>
      <w:r>
        <w:rPr>
          <w:rStyle w:val="30"/>
          <w:rFonts w:ascii="Times New Roman" w:hAnsi="Times New Roman" w:eastAsia="黑体" w:cs="Times New Roman"/>
          <w:b w:val="0"/>
        </w:rPr>
        <w:t>财政拨款</w:t>
      </w:r>
      <w:r>
        <w:rPr>
          <w:rStyle w:val="30"/>
          <w:rFonts w:ascii="Times New Roman" w:hAnsi="Times New Roman" w:eastAsia="黑体" w:cs="Times New Roman"/>
        </w:rPr>
        <w:t>“</w:t>
      </w:r>
      <w:r>
        <w:rPr>
          <w:rStyle w:val="30"/>
          <w:rFonts w:ascii="Times New Roman" w:hAnsi="Times New Roman" w:eastAsia="黑体" w:cs="Times New Roman"/>
          <w:b w:val="0"/>
        </w:rPr>
        <w:t>三公”经费支出决算情况说明</w:t>
      </w:r>
      <w:bookmarkEnd w:id="87"/>
      <w:bookmarkEnd w:id="88"/>
      <w:bookmarkEnd w:id="89"/>
    </w:p>
    <w:p>
      <w:pPr>
        <w:spacing w:line="576" w:lineRule="exact"/>
        <w:ind w:firstLine="640"/>
        <w:outlineLvl w:val="2"/>
        <w:rPr>
          <w:rFonts w:eastAsia="仿宋"/>
          <w:b/>
          <w:sz w:val="32"/>
          <w:szCs w:val="32"/>
        </w:rPr>
      </w:pPr>
      <w:bookmarkStart w:id="90" w:name="_Toc15377216"/>
      <w:r>
        <w:rPr>
          <w:rFonts w:eastAsia="仿宋"/>
          <w:b/>
          <w:sz w:val="32"/>
          <w:szCs w:val="32"/>
        </w:rPr>
        <w:t>（一）“三公”经费财政拨款支出决算总体情况说明</w:t>
      </w:r>
      <w:bookmarkEnd w:id="90"/>
    </w:p>
    <w:p>
      <w:pPr>
        <w:spacing w:line="576" w:lineRule="exact"/>
        <w:ind w:firstLine="640"/>
        <w:rPr>
          <w:rFonts w:eastAsia="仿宋"/>
          <w:sz w:val="32"/>
          <w:szCs w:val="32"/>
        </w:rPr>
      </w:pPr>
      <w:r>
        <w:rPr>
          <w:rFonts w:eastAsia="仿宋"/>
          <w:sz w:val="32"/>
          <w:szCs w:val="32"/>
        </w:rPr>
        <w:t>2022年“三公”经费财政拨款支出决算为0.91万元，完成预算100%，较上年减少0.06万元，下降6.2%。决算数与预算数持平。</w:t>
      </w:r>
    </w:p>
    <w:p>
      <w:pPr>
        <w:spacing w:line="576" w:lineRule="exact"/>
        <w:ind w:firstLine="640"/>
        <w:outlineLvl w:val="2"/>
        <w:rPr>
          <w:rFonts w:eastAsia="仿宋"/>
          <w:b/>
          <w:sz w:val="32"/>
          <w:szCs w:val="32"/>
        </w:rPr>
      </w:pPr>
      <w:bookmarkStart w:id="91" w:name="_Toc15377217"/>
      <w:r>
        <w:rPr>
          <w:rFonts w:eastAsia="仿宋"/>
          <w:b/>
          <w:sz w:val="32"/>
          <w:szCs w:val="32"/>
        </w:rPr>
        <w:t>（二）“三公”经费财政拨款支出决算具体情况说明</w:t>
      </w:r>
      <w:bookmarkEnd w:id="91"/>
    </w:p>
    <w:p>
      <w:pPr>
        <w:spacing w:line="576" w:lineRule="exact"/>
        <w:ind w:firstLine="640"/>
        <w:rPr>
          <w:rFonts w:eastAsia="仿宋"/>
          <w:sz w:val="32"/>
          <w:szCs w:val="32"/>
        </w:rPr>
      </w:pPr>
      <w:r>
        <w:rPr>
          <w:rFonts w:eastAsia="仿宋"/>
          <w:sz w:val="32"/>
          <w:szCs w:val="32"/>
        </w:rPr>
        <w:drawing>
          <wp:anchor distT="0" distB="0" distL="114300" distR="114300" simplePos="0" relativeHeight="251687936" behindDoc="0" locked="0" layoutInCell="1" allowOverlap="1">
            <wp:simplePos x="0" y="0"/>
            <wp:positionH relativeFrom="column">
              <wp:posOffset>561975</wp:posOffset>
            </wp:positionH>
            <wp:positionV relativeFrom="paragraph">
              <wp:posOffset>1581785</wp:posOffset>
            </wp:positionV>
            <wp:extent cx="4483100" cy="1511935"/>
            <wp:effectExtent l="0" t="0" r="0" b="0"/>
            <wp:wrapTight wrapText="bothSides">
              <wp:wrapPolygon>
                <wp:start x="6608" y="2177"/>
                <wp:lineTo x="4314" y="6260"/>
                <wp:lineTo x="3671" y="10614"/>
                <wp:lineTo x="4039" y="15241"/>
                <wp:lineTo x="5232" y="18234"/>
                <wp:lineTo x="5507" y="18779"/>
                <wp:lineTo x="6976" y="18779"/>
                <wp:lineTo x="11381" y="18234"/>
                <wp:lineTo x="20560" y="16329"/>
                <wp:lineTo x="20468" y="2177"/>
                <wp:lineTo x="6608" y="2177"/>
              </wp:wrapPolygon>
            </wp:wrapTight>
            <wp:docPr id="77" name="对象 4"/>
            <wp:cNvGraphicFramePr>
              <a:graphicFrameLocks xmlns:a="http://schemas.openxmlformats.org/drawingml/2006/main" noChangeAspect="tru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eastAsia="仿宋"/>
          <w:sz w:val="32"/>
          <w:szCs w:val="32"/>
        </w:rPr>
        <w:t>2022年“三公”经费财政拨款支出决算中，因公出国（境）费支出决算0万元，占0%；公务用车购置及运行维护费支出决算0.73万元，占80.2%；公务接待费支出决算0.18万元，占19.8%。具体情况如下：</w:t>
      </w:r>
    </w:p>
    <w:p>
      <w:pPr>
        <w:spacing w:line="576" w:lineRule="exact"/>
        <w:ind w:firstLine="640"/>
        <w:rPr>
          <w:rFonts w:eastAsia="仿宋"/>
          <w:sz w:val="32"/>
          <w:szCs w:val="32"/>
        </w:rPr>
      </w:pPr>
    </w:p>
    <w:p>
      <w:pPr>
        <w:spacing w:line="576" w:lineRule="exact"/>
        <w:ind w:firstLine="640"/>
        <w:rPr>
          <w:rFonts w:eastAsia="仿宋"/>
          <w:sz w:val="32"/>
          <w:szCs w:val="32"/>
        </w:rPr>
      </w:pPr>
    </w:p>
    <w:p>
      <w:pPr>
        <w:spacing w:line="576" w:lineRule="exact"/>
        <w:ind w:firstLine="640"/>
        <w:rPr>
          <w:rFonts w:eastAsia="仿宋"/>
          <w:sz w:val="32"/>
          <w:szCs w:val="32"/>
        </w:rPr>
      </w:pPr>
    </w:p>
    <w:p>
      <w:pPr>
        <w:spacing w:line="576" w:lineRule="exact"/>
        <w:ind w:firstLine="640"/>
        <w:rPr>
          <w:rFonts w:eastAsia="仿宋"/>
          <w:sz w:val="32"/>
          <w:szCs w:val="32"/>
        </w:rPr>
      </w:pPr>
    </w:p>
    <w:p>
      <w:pPr>
        <w:spacing w:line="576" w:lineRule="exact"/>
        <w:jc w:val="center"/>
        <w:rPr>
          <w:rFonts w:eastAsia="仿宋"/>
          <w:sz w:val="32"/>
          <w:szCs w:val="32"/>
        </w:rPr>
      </w:pPr>
      <w:r>
        <w:rPr>
          <w:rFonts w:eastAsia="仿宋"/>
          <w:sz w:val="32"/>
          <w:szCs w:val="32"/>
        </w:rPr>
        <w:t>图7：“三公”经费财政拨款支出结构</w:t>
      </w:r>
    </w:p>
    <w:p>
      <w:pPr>
        <w:spacing w:line="576" w:lineRule="exact"/>
        <w:ind w:firstLine="640"/>
        <w:rPr>
          <w:rFonts w:eastAsia="仿宋_GB2312"/>
          <w:b/>
          <w:sz w:val="32"/>
          <w:szCs w:val="32"/>
        </w:rPr>
      </w:pPr>
      <w:r>
        <w:rPr>
          <w:rFonts w:eastAsia="仿宋_GB2312"/>
          <w:b/>
          <w:sz w:val="32"/>
          <w:szCs w:val="32"/>
        </w:rPr>
        <w:t>1.因公出国（境）经费支出0万元</w:t>
      </w:r>
      <w:r>
        <w:rPr>
          <w:rFonts w:eastAsia="仿宋_GB2312"/>
          <w:sz w:val="32"/>
          <w:szCs w:val="32"/>
        </w:rPr>
        <w:t>，</w:t>
      </w:r>
      <w:r>
        <w:rPr>
          <w:rStyle w:val="17"/>
          <w:rFonts w:eastAsia="仿宋"/>
          <w:b w:val="0"/>
          <w:bCs/>
          <w:sz w:val="32"/>
          <w:szCs w:val="32"/>
        </w:rPr>
        <w:t>完成预算0%。</w:t>
      </w:r>
      <w:r>
        <w:rPr>
          <w:rFonts w:eastAsia="仿宋_GB2312"/>
          <w:sz w:val="32"/>
          <w:szCs w:val="32"/>
        </w:rPr>
        <w:t>全年安排因公出国（境）团组0次，出国（境）0人。因公出国（境）支出决算比2021年增加/减少0万元，增长/下降0%。</w:t>
      </w:r>
    </w:p>
    <w:p>
      <w:pPr>
        <w:spacing w:line="576" w:lineRule="exact"/>
        <w:ind w:firstLine="640"/>
        <w:rPr>
          <w:rFonts w:eastAsia="仿宋_GB2312"/>
          <w:b/>
          <w:sz w:val="32"/>
          <w:szCs w:val="32"/>
        </w:rPr>
      </w:pPr>
      <w:r>
        <w:rPr>
          <w:rFonts w:eastAsia="仿宋_GB2312"/>
          <w:b/>
          <w:sz w:val="32"/>
          <w:szCs w:val="32"/>
        </w:rPr>
        <w:t>2.公务用车购置及运行维护费支出0.73万元</w:t>
      </w:r>
      <w:r>
        <w:rPr>
          <w:rFonts w:eastAsia="仿宋_GB2312"/>
          <w:sz w:val="32"/>
          <w:szCs w:val="32"/>
        </w:rPr>
        <w:t>,</w:t>
      </w:r>
      <w:r>
        <w:rPr>
          <w:rStyle w:val="17"/>
          <w:rFonts w:eastAsia="仿宋"/>
          <w:b w:val="0"/>
          <w:bCs/>
          <w:sz w:val="32"/>
          <w:szCs w:val="32"/>
        </w:rPr>
        <w:t>完成预算100%。</w:t>
      </w:r>
      <w:r>
        <w:rPr>
          <w:rFonts w:eastAsia="仿宋_GB2312"/>
          <w:sz w:val="32"/>
          <w:szCs w:val="32"/>
        </w:rPr>
        <w:t>公务用车购置及运行维护费支出决算比2021年增加0.15万元，增长25.86%。主要原因是公务用车保养维护费增加。</w:t>
      </w:r>
    </w:p>
    <w:p>
      <w:pPr>
        <w:spacing w:line="576" w:lineRule="exact"/>
        <w:ind w:firstLine="640" w:firstLineChars="200"/>
        <w:rPr>
          <w:rFonts w:eastAsia="仿宋"/>
          <w:b/>
          <w:sz w:val="32"/>
          <w:szCs w:val="32"/>
        </w:rPr>
      </w:pPr>
      <w:r>
        <w:rPr>
          <w:rFonts w:eastAsia="仿宋"/>
          <w:sz w:val="32"/>
          <w:szCs w:val="32"/>
        </w:rPr>
        <w:t>其中：</w:t>
      </w:r>
      <w:r>
        <w:rPr>
          <w:rFonts w:eastAsia="仿宋"/>
          <w:b/>
          <w:sz w:val="32"/>
          <w:szCs w:val="32"/>
        </w:rPr>
        <w:t>公务用车购置支出</w:t>
      </w:r>
      <w:r>
        <w:rPr>
          <w:rFonts w:eastAsia="仿宋"/>
          <w:sz w:val="32"/>
          <w:szCs w:val="32"/>
        </w:rPr>
        <w:t>0万元。全年按规定更新购置公务用车0辆，其中：轿车0辆、金额0万元，越野车0辆、金额0万元，载客汽车0辆、金额0万元。截至2021年12月底，单位共有公务用车1辆，其中：轿车1辆、越野车0辆、载客汽车0辆。</w:t>
      </w:r>
    </w:p>
    <w:p>
      <w:pPr>
        <w:spacing w:line="576" w:lineRule="exact"/>
        <w:ind w:firstLine="640"/>
        <w:rPr>
          <w:rFonts w:eastAsia="仿宋_GB2312"/>
          <w:sz w:val="32"/>
          <w:szCs w:val="32"/>
        </w:rPr>
      </w:pPr>
      <w:r>
        <w:rPr>
          <w:rFonts w:eastAsia="仿宋_GB2312"/>
          <w:b/>
          <w:sz w:val="32"/>
          <w:szCs w:val="32"/>
        </w:rPr>
        <w:t>公务用车运行维护费支出</w:t>
      </w:r>
      <w:r>
        <w:rPr>
          <w:rFonts w:eastAsia="仿宋_GB2312"/>
          <w:sz w:val="32"/>
          <w:szCs w:val="32"/>
        </w:rPr>
        <w:t>0.73万元。</w:t>
      </w:r>
      <w:r>
        <w:rPr>
          <w:rFonts w:eastAsia="仿宋"/>
          <w:sz w:val="32"/>
          <w:szCs w:val="32"/>
        </w:rPr>
        <w:t>主要用于档案征集、档案业务指导及日常公务用车</w:t>
      </w:r>
      <w:r>
        <w:rPr>
          <w:rFonts w:eastAsia="仿宋_GB2312"/>
          <w:sz w:val="32"/>
          <w:szCs w:val="32"/>
        </w:rPr>
        <w:t>等所需的公务用车燃料费、维修费、过路过桥费、保险费等支出。</w:t>
      </w:r>
    </w:p>
    <w:p>
      <w:pPr>
        <w:spacing w:line="576" w:lineRule="exact"/>
        <w:ind w:firstLine="640"/>
        <w:rPr>
          <w:rFonts w:eastAsia="仿宋_GB2312"/>
          <w:sz w:val="32"/>
          <w:szCs w:val="32"/>
        </w:rPr>
      </w:pPr>
      <w:r>
        <w:rPr>
          <w:rFonts w:eastAsia="仿宋_GB2312"/>
          <w:b/>
          <w:sz w:val="32"/>
          <w:szCs w:val="32"/>
        </w:rPr>
        <w:t>3.公务接待费支出</w:t>
      </w:r>
      <w:r>
        <w:rPr>
          <w:rFonts w:eastAsia="仿宋_GB2312"/>
          <w:sz w:val="32"/>
          <w:szCs w:val="32"/>
        </w:rPr>
        <w:t>0.18万元，</w:t>
      </w:r>
      <w:r>
        <w:rPr>
          <w:rStyle w:val="17"/>
          <w:rFonts w:eastAsia="仿宋"/>
          <w:b w:val="0"/>
          <w:bCs/>
          <w:sz w:val="32"/>
          <w:szCs w:val="32"/>
        </w:rPr>
        <w:t>完成预算100%。</w:t>
      </w:r>
      <w:r>
        <w:rPr>
          <w:rFonts w:eastAsia="仿宋_GB2312"/>
          <w:sz w:val="32"/>
          <w:szCs w:val="32"/>
        </w:rPr>
        <w:t>公务接待费支出决算比2021年减少0.4万元，下降68.96%。主要原因是</w:t>
      </w:r>
      <w:r>
        <w:rPr>
          <w:rFonts w:eastAsia="仿宋"/>
          <w:sz w:val="32"/>
          <w:szCs w:val="32"/>
        </w:rPr>
        <w:t>受疫情影响，公务外出及接待人数及批次远少于上年</w:t>
      </w:r>
      <w:r>
        <w:rPr>
          <w:rFonts w:eastAsia="仿宋_GB2312"/>
          <w:sz w:val="32"/>
          <w:szCs w:val="32"/>
        </w:rPr>
        <w:t>。其中：</w:t>
      </w:r>
    </w:p>
    <w:p>
      <w:pPr>
        <w:spacing w:line="576" w:lineRule="exact"/>
        <w:ind w:firstLine="640"/>
        <w:rPr>
          <w:rFonts w:eastAsia="仿宋_GB2312"/>
          <w:sz w:val="32"/>
          <w:szCs w:val="32"/>
        </w:rPr>
      </w:pPr>
      <w:r>
        <w:rPr>
          <w:rFonts w:eastAsia="仿宋"/>
          <w:b/>
          <w:sz w:val="32"/>
          <w:szCs w:val="32"/>
        </w:rPr>
        <w:t>国内公务接待支出</w:t>
      </w:r>
      <w:r>
        <w:rPr>
          <w:rFonts w:eastAsia="仿宋"/>
          <w:sz w:val="32"/>
          <w:szCs w:val="32"/>
        </w:rPr>
        <w:t>0.18</w:t>
      </w:r>
      <w:r>
        <w:rPr>
          <w:rFonts w:eastAsia="仿宋_GB2312"/>
          <w:sz w:val="32"/>
          <w:szCs w:val="32"/>
        </w:rPr>
        <w:t>万元，主要用于执行公务、开展档案业务活动开支的用餐费。国内公务接待3批次，12人次（不包括陪同人员），共计支出0.18万元，具体内容包括：接待米易县档案馆来馆学习交流餐费300元，接待专题民主生活会巡回指导组餐费200元，接待省档案校莅攀交流餐费及三线博物馆参观讲解费1273元。</w:t>
      </w:r>
    </w:p>
    <w:p>
      <w:pPr>
        <w:spacing w:line="576" w:lineRule="exact"/>
        <w:ind w:firstLine="642" w:firstLineChars="200"/>
        <w:rPr>
          <w:rFonts w:eastAsia="仿宋_GB2312"/>
          <w:sz w:val="32"/>
          <w:szCs w:val="32"/>
        </w:rPr>
      </w:pPr>
      <w:r>
        <w:rPr>
          <w:rFonts w:eastAsia="仿宋"/>
          <w:b/>
          <w:sz w:val="32"/>
          <w:szCs w:val="32"/>
        </w:rPr>
        <w:t>外事接待支出</w:t>
      </w:r>
      <w:r>
        <w:rPr>
          <w:rFonts w:eastAsia="仿宋"/>
          <w:sz w:val="32"/>
          <w:szCs w:val="32"/>
        </w:rPr>
        <w:t>0</w:t>
      </w:r>
      <w:r>
        <w:rPr>
          <w:rFonts w:eastAsia="仿宋_GB2312"/>
          <w:sz w:val="32"/>
          <w:szCs w:val="32"/>
        </w:rPr>
        <w:t>万，0批次，0人次，共计支出0万元</w:t>
      </w:r>
      <w:bookmarkStart w:id="92" w:name="_Toc15377218"/>
      <w:bookmarkStart w:id="93" w:name="_Toc15396610"/>
      <w:r>
        <w:rPr>
          <w:rFonts w:eastAsia="仿宋_GB2312"/>
          <w:sz w:val="32"/>
          <w:szCs w:val="32"/>
        </w:rPr>
        <w:t>。</w:t>
      </w:r>
    </w:p>
    <w:p>
      <w:pPr>
        <w:spacing w:line="576" w:lineRule="exact"/>
        <w:ind w:firstLine="640"/>
        <w:outlineLvl w:val="1"/>
        <w:rPr>
          <w:rStyle w:val="30"/>
          <w:rFonts w:ascii="Times New Roman" w:hAnsi="Times New Roman" w:eastAsia="黑体" w:cs="Times New Roman"/>
        </w:rPr>
      </w:pPr>
      <w:bookmarkStart w:id="94" w:name="_Toc1522422521_WPSOffice_Level2"/>
      <w:r>
        <w:rPr>
          <w:rFonts w:eastAsia="黑体"/>
          <w:sz w:val="32"/>
          <w:szCs w:val="32"/>
        </w:rPr>
        <w:t>八、</w:t>
      </w:r>
      <w:r>
        <w:rPr>
          <w:rStyle w:val="30"/>
          <w:rFonts w:ascii="Times New Roman" w:hAnsi="Times New Roman" w:eastAsia="黑体" w:cs="Times New Roman"/>
          <w:b w:val="0"/>
        </w:rPr>
        <w:t>政府性基金预算支出决算情况说明</w:t>
      </w:r>
      <w:bookmarkEnd w:id="92"/>
      <w:bookmarkEnd w:id="93"/>
      <w:bookmarkEnd w:id="94"/>
    </w:p>
    <w:p>
      <w:pPr>
        <w:spacing w:line="576" w:lineRule="exact"/>
        <w:ind w:firstLine="640"/>
        <w:rPr>
          <w:rFonts w:eastAsia="仿宋_GB2312"/>
          <w:sz w:val="32"/>
          <w:szCs w:val="32"/>
        </w:rPr>
      </w:pPr>
      <w:r>
        <w:rPr>
          <w:rFonts w:eastAsia="仿宋_GB2312"/>
          <w:sz w:val="32"/>
          <w:szCs w:val="32"/>
        </w:rPr>
        <w:t>2022年政府性基金预算财政拨款支出0万元。</w:t>
      </w:r>
    </w:p>
    <w:p>
      <w:pPr>
        <w:numPr>
          <w:ilvl w:val="0"/>
          <w:numId w:val="2"/>
        </w:numPr>
        <w:spacing w:line="576" w:lineRule="exact"/>
        <w:ind w:firstLine="640"/>
        <w:outlineLvl w:val="1"/>
        <w:rPr>
          <w:rStyle w:val="30"/>
          <w:rFonts w:ascii="Times New Roman" w:hAnsi="Times New Roman" w:eastAsia="黑体" w:cs="Times New Roman"/>
          <w:b w:val="0"/>
        </w:rPr>
      </w:pPr>
      <w:bookmarkStart w:id="95" w:name="_Toc15377219"/>
      <w:bookmarkStart w:id="96" w:name="_Toc1796266068_WPSOffice_Level2"/>
      <w:bookmarkStart w:id="97" w:name="_Toc15396611"/>
      <w:r>
        <w:rPr>
          <w:rStyle w:val="30"/>
          <w:rFonts w:ascii="Times New Roman" w:hAnsi="Times New Roman" w:eastAsia="黑体" w:cs="Times New Roman"/>
          <w:b w:val="0"/>
        </w:rPr>
        <w:t>国有资本经营预算支出决算情况说明</w:t>
      </w:r>
      <w:bookmarkEnd w:id="95"/>
      <w:bookmarkEnd w:id="96"/>
      <w:bookmarkEnd w:id="97"/>
    </w:p>
    <w:p>
      <w:pPr>
        <w:spacing w:line="576" w:lineRule="exact"/>
        <w:ind w:firstLine="640"/>
        <w:rPr>
          <w:rFonts w:eastAsia="仿宋_GB2312"/>
          <w:sz w:val="44"/>
          <w:szCs w:val="44"/>
        </w:rPr>
      </w:pPr>
      <w:r>
        <w:rPr>
          <w:rFonts w:eastAsia="仿宋_GB2312"/>
          <w:sz w:val="32"/>
          <w:szCs w:val="32"/>
        </w:rPr>
        <w:t>2022年国有资本经营预算财政拨款支出0万元。</w:t>
      </w:r>
    </w:p>
    <w:p>
      <w:pPr>
        <w:numPr>
          <w:ilvl w:val="0"/>
          <w:numId w:val="2"/>
        </w:numPr>
        <w:spacing w:line="576" w:lineRule="exact"/>
        <w:ind w:firstLine="640"/>
        <w:outlineLvl w:val="1"/>
        <w:rPr>
          <w:rStyle w:val="30"/>
          <w:rFonts w:ascii="Times New Roman" w:hAnsi="Times New Roman" w:eastAsia="黑体" w:cs="Times New Roman"/>
          <w:b w:val="0"/>
        </w:rPr>
      </w:pPr>
      <w:bookmarkStart w:id="98" w:name="_Toc2109593783_WPSOffice_Level2"/>
      <w:bookmarkStart w:id="99" w:name="_Toc15377221"/>
      <w:bookmarkStart w:id="100" w:name="_Toc15396612"/>
      <w:r>
        <w:rPr>
          <w:rStyle w:val="30"/>
          <w:rFonts w:ascii="Times New Roman" w:hAnsi="Times New Roman" w:eastAsia="黑体" w:cs="Times New Roman"/>
          <w:b w:val="0"/>
        </w:rPr>
        <w:t>其他重要事项的情况说明</w:t>
      </w:r>
      <w:bookmarkEnd w:id="98"/>
      <w:bookmarkEnd w:id="99"/>
      <w:bookmarkEnd w:id="100"/>
    </w:p>
    <w:p>
      <w:pPr>
        <w:spacing w:line="576" w:lineRule="exact"/>
        <w:ind w:firstLine="642" w:firstLineChars="200"/>
        <w:outlineLvl w:val="2"/>
        <w:rPr>
          <w:rFonts w:eastAsia="仿宋"/>
          <w:sz w:val="32"/>
          <w:szCs w:val="32"/>
        </w:rPr>
      </w:pPr>
      <w:bookmarkStart w:id="101" w:name="_Toc15377222"/>
      <w:r>
        <w:rPr>
          <w:rFonts w:eastAsia="仿宋"/>
          <w:b/>
          <w:sz w:val="32"/>
          <w:szCs w:val="32"/>
        </w:rPr>
        <w:t>（一）机关运行经费支出情况</w:t>
      </w:r>
      <w:bookmarkEnd w:id="101"/>
    </w:p>
    <w:p>
      <w:pPr>
        <w:widowControl/>
        <w:spacing w:line="560" w:lineRule="exact"/>
        <w:ind w:firstLine="640" w:firstLineChars="200"/>
        <w:jc w:val="left"/>
        <w:rPr>
          <w:rFonts w:eastAsia="方正仿宋_GBK"/>
          <w:sz w:val="32"/>
          <w:szCs w:val="32"/>
        </w:rPr>
      </w:pPr>
      <w:r>
        <w:rPr>
          <w:rFonts w:eastAsia="仿宋_GB2312"/>
          <w:sz w:val="32"/>
          <w:szCs w:val="32"/>
        </w:rPr>
        <w:t>2022年，攀枝花市档案馆机关运行经费支出57.46万元，比2021年减少4.13万元，下降6.7%。</w:t>
      </w:r>
      <w:r>
        <w:rPr>
          <w:rFonts w:eastAsia="方正仿宋_GBK"/>
          <w:spacing w:val="-4"/>
          <w:sz w:val="32"/>
          <w:szCs w:val="32"/>
        </w:rPr>
        <w:t>主要原因是主要是厉行节约，缩减开支，减少支出，且部分经费因年底指标回收，未能支付</w:t>
      </w:r>
      <w:r>
        <w:rPr>
          <w:rFonts w:eastAsia="仿宋_GB2312"/>
          <w:sz w:val="32"/>
          <w:szCs w:val="32"/>
        </w:rPr>
        <w:t>。</w:t>
      </w:r>
    </w:p>
    <w:p>
      <w:pPr>
        <w:autoSpaceDE w:val="0"/>
        <w:autoSpaceDN w:val="0"/>
        <w:adjustRightInd w:val="0"/>
        <w:spacing w:line="576" w:lineRule="exact"/>
        <w:ind w:firstLine="642" w:firstLineChars="200"/>
        <w:jc w:val="left"/>
        <w:outlineLvl w:val="2"/>
        <w:rPr>
          <w:rFonts w:eastAsia="仿宋"/>
          <w:b/>
          <w:sz w:val="32"/>
          <w:szCs w:val="32"/>
        </w:rPr>
      </w:pPr>
      <w:bookmarkStart w:id="102" w:name="_Toc15377223"/>
      <w:r>
        <w:rPr>
          <w:rFonts w:eastAsia="仿宋"/>
          <w:b/>
          <w:sz w:val="32"/>
          <w:szCs w:val="32"/>
        </w:rPr>
        <w:t>（二）政府采购支出情况</w:t>
      </w:r>
      <w:bookmarkEnd w:id="102"/>
    </w:p>
    <w:p>
      <w:pPr>
        <w:spacing w:line="576" w:lineRule="exact"/>
        <w:ind w:firstLine="640" w:firstLineChars="200"/>
        <w:rPr>
          <w:rFonts w:eastAsia="仿宋_GB2312"/>
          <w:b/>
          <w:sz w:val="32"/>
          <w:szCs w:val="32"/>
        </w:rPr>
      </w:pPr>
      <w:r>
        <w:rPr>
          <w:rFonts w:eastAsia="仿宋_GB2312"/>
          <w:sz w:val="32"/>
          <w:szCs w:val="32"/>
        </w:rPr>
        <w:t>2022年，攀枝花市档案馆政府采购支出总额60万元，其中：政府采购货物支出20万元、政府采购工程支出0万元、政府采购服务支出40万元。主要用于市档案馆2021年完成招标采购的档案移库搬迁项目及</w:t>
      </w:r>
      <w:r>
        <w:rPr>
          <w:rFonts w:eastAsia="方正仿宋_GBK"/>
          <w:sz w:val="33"/>
          <w:szCs w:val="33"/>
        </w:rPr>
        <w:t>档案馆新库房有轨密集架采购安装、旧密集架移库安装项目支付</w:t>
      </w:r>
      <w:r>
        <w:rPr>
          <w:rFonts w:eastAsia="仿宋_GB2312"/>
          <w:sz w:val="32"/>
          <w:szCs w:val="32"/>
        </w:rPr>
        <w:t>。授予中小企业合同金额60万元，占政府采购支出总额的100%，其中：授予小微企业合同金额60万元，占政府采购支出总额的100%。</w:t>
      </w:r>
    </w:p>
    <w:p>
      <w:pPr>
        <w:autoSpaceDE w:val="0"/>
        <w:autoSpaceDN w:val="0"/>
        <w:adjustRightInd w:val="0"/>
        <w:spacing w:line="576" w:lineRule="exact"/>
        <w:ind w:firstLine="642" w:firstLineChars="200"/>
        <w:jc w:val="left"/>
        <w:outlineLvl w:val="2"/>
        <w:rPr>
          <w:rFonts w:eastAsia="仿宋"/>
          <w:b/>
          <w:sz w:val="32"/>
          <w:szCs w:val="32"/>
        </w:rPr>
      </w:pPr>
      <w:bookmarkStart w:id="103" w:name="_Toc15377224"/>
      <w:r>
        <w:rPr>
          <w:rFonts w:eastAsia="仿宋"/>
          <w:b/>
          <w:sz w:val="32"/>
          <w:szCs w:val="32"/>
        </w:rPr>
        <w:t>（三）国有资产占有使用情况</w:t>
      </w:r>
      <w:bookmarkEnd w:id="103"/>
    </w:p>
    <w:p>
      <w:pPr>
        <w:autoSpaceDE w:val="0"/>
        <w:autoSpaceDN w:val="0"/>
        <w:adjustRightInd w:val="0"/>
        <w:spacing w:line="576" w:lineRule="exact"/>
        <w:ind w:firstLine="640" w:firstLineChars="200"/>
        <w:jc w:val="left"/>
        <w:rPr>
          <w:rFonts w:eastAsia="仿宋_GB2312"/>
          <w:b/>
          <w:sz w:val="32"/>
          <w:szCs w:val="32"/>
        </w:rPr>
      </w:pPr>
      <w:r>
        <w:rPr>
          <w:rFonts w:eastAsia="仿宋_GB2312"/>
          <w:sz w:val="32"/>
          <w:szCs w:val="32"/>
        </w:rPr>
        <w:t>截至2022年12月31日，攀枝花市档案馆共有公务车辆1辆，其中：主要领导干部用车0辆、机要通信用车0辆、应急保障用车1辆、其他用车0辆。单价100万元以上专用设备0台（套）。</w:t>
      </w:r>
    </w:p>
    <w:p>
      <w:pPr>
        <w:autoSpaceDE w:val="0"/>
        <w:autoSpaceDN w:val="0"/>
        <w:adjustRightInd w:val="0"/>
        <w:spacing w:line="576" w:lineRule="exact"/>
        <w:ind w:firstLine="642" w:firstLineChars="200"/>
        <w:jc w:val="left"/>
        <w:outlineLvl w:val="2"/>
        <w:rPr>
          <w:rFonts w:eastAsia="仿宋"/>
          <w:b/>
          <w:sz w:val="32"/>
          <w:szCs w:val="32"/>
        </w:rPr>
      </w:pPr>
      <w:r>
        <w:rPr>
          <w:rFonts w:eastAsia="仿宋"/>
          <w:b/>
          <w:sz w:val="32"/>
          <w:szCs w:val="32"/>
        </w:rPr>
        <w:t>（四）预算绩效管理情况</w:t>
      </w:r>
    </w:p>
    <w:p>
      <w:pPr>
        <w:widowControl/>
        <w:spacing w:line="576" w:lineRule="exact"/>
        <w:ind w:firstLine="640" w:firstLineChars="200"/>
        <w:jc w:val="left"/>
        <w:rPr>
          <w:rFonts w:eastAsia="仿宋_GB2312"/>
          <w:sz w:val="32"/>
          <w:szCs w:val="32"/>
        </w:rPr>
      </w:pPr>
      <w:r>
        <w:rPr>
          <w:rFonts w:eastAsia="仿宋_GB2312"/>
          <w:sz w:val="32"/>
          <w:szCs w:val="32"/>
        </w:rPr>
        <w:t>根据预算绩效管理要求，本部门在2022年度预算编制阶段，组织对</w:t>
      </w:r>
      <w:r>
        <w:rPr>
          <w:rFonts w:eastAsia="方正仿宋_GBK"/>
          <w:sz w:val="33"/>
          <w:szCs w:val="33"/>
        </w:rPr>
        <w:t>市档案馆搬迁项目，李国超艺术档案捐赠项目、四川省档案事业发展专项</w:t>
      </w:r>
      <w:r>
        <w:rPr>
          <w:rFonts w:eastAsia="仿宋_GB2312"/>
          <w:sz w:val="32"/>
          <w:szCs w:val="32"/>
        </w:rPr>
        <w:t>等27个项目开展了预算事前绩效评估，对27个项目编制了绩效目标，预算执行过程中，选取1个项目开展绩效监控。</w:t>
      </w:r>
    </w:p>
    <w:p>
      <w:pPr>
        <w:adjustRightInd w:val="0"/>
        <w:snapToGrid w:val="0"/>
        <w:spacing w:line="576" w:lineRule="exact"/>
        <w:ind w:firstLine="660"/>
        <w:rPr>
          <w:rFonts w:eastAsia="仿宋_GB2312"/>
          <w:b/>
          <w:sz w:val="32"/>
          <w:szCs w:val="32"/>
        </w:rPr>
      </w:pPr>
      <w:r>
        <w:rPr>
          <w:rFonts w:eastAsia="仿宋_GB2312"/>
          <w:sz w:val="32"/>
          <w:szCs w:val="32"/>
        </w:rPr>
        <w:t>组织对2022年度一般公共预算全面开展绩效自评，形成攀枝花市档案馆部门整体（含部门预算项目）绩效自评，其中，攀枝花市档案馆部门整体（含部门预算项目）绩效自评得分为91.9分，绩效自评综述：</w:t>
      </w:r>
      <w:r>
        <w:rPr>
          <w:rFonts w:eastAsia="方正仿宋_GBK"/>
          <w:sz w:val="33"/>
          <w:szCs w:val="33"/>
        </w:rPr>
        <w:t>2022年，</w:t>
      </w:r>
      <w:r>
        <w:rPr>
          <w:rFonts w:eastAsia="方正仿宋_GBK"/>
          <w:spacing w:val="-4"/>
          <w:sz w:val="32"/>
          <w:szCs w:val="32"/>
        </w:rPr>
        <w:t>我单位对财政资金的使用本着量入为出的原则，合理使用财政资金，保人员、保重点工作急需支出，</w:t>
      </w:r>
      <w:r>
        <w:rPr>
          <w:rFonts w:eastAsia="方正仿宋_GBK"/>
          <w:sz w:val="33"/>
          <w:szCs w:val="33"/>
        </w:rPr>
        <w:t>始终坚持“办局一体、局馆联动”工作模式，共商共建乡村振兴、数字档案馆建设和脱贫攻坚档案归集等重点工作，开展丰富多彩的喜迎二十大档案文化宣传，扎实推进数字档案馆试点建设，改善软硬件设施，及时归集脱贫攻坚和疫情防控两类档案，持续抓好全市重点工作、重大项目、重要活动档案的规范收集等工作。</w:t>
      </w:r>
      <w:r>
        <w:rPr>
          <w:rFonts w:eastAsia="方正仿宋_GBK"/>
          <w:spacing w:val="-4"/>
          <w:sz w:val="32"/>
          <w:szCs w:val="32"/>
        </w:rPr>
        <w:t>各项经费的使用基本实现了既定的整体绩效目标，充分发挥了财政资金的效用，各项目标工作任务有序推进且完成较好，保证了机关工作的正常运转。绩效自评报告详见附件。</w:t>
      </w:r>
      <w:r>
        <w:rPr>
          <w:rFonts w:eastAsia="仿宋_GB2312"/>
          <w:b/>
          <w:sz w:val="32"/>
          <w:szCs w:val="32"/>
        </w:rPr>
        <w:br w:type="page"/>
      </w:r>
    </w:p>
    <w:p>
      <w:pPr>
        <w:numPr>
          <w:ilvl w:val="0"/>
          <w:numId w:val="3"/>
        </w:numPr>
        <w:spacing w:line="576" w:lineRule="exact"/>
        <w:ind w:firstLine="660" w:firstLineChars="150"/>
        <w:jc w:val="center"/>
        <w:outlineLvl w:val="0"/>
        <w:rPr>
          <w:rStyle w:val="29"/>
          <w:rFonts w:eastAsia="黑体"/>
          <w:b w:val="0"/>
        </w:rPr>
      </w:pPr>
      <w:bookmarkStart w:id="104" w:name="_Toc15396613"/>
      <w:bookmarkStart w:id="105" w:name="_Toc15377225"/>
      <w:bookmarkStart w:id="106" w:name="_Toc1323791133_WPSOffice_Level1"/>
      <w:r>
        <w:rPr>
          <w:rFonts w:eastAsia="黑体"/>
          <w:sz w:val="44"/>
          <w:szCs w:val="44"/>
        </w:rPr>
        <w:t>名</w:t>
      </w:r>
      <w:r>
        <w:rPr>
          <w:rStyle w:val="29"/>
          <w:rFonts w:eastAsia="黑体"/>
          <w:b w:val="0"/>
        </w:rPr>
        <w:t>词解释</w:t>
      </w:r>
      <w:bookmarkEnd w:id="104"/>
      <w:bookmarkEnd w:id="105"/>
      <w:bookmarkEnd w:id="106"/>
    </w:p>
    <w:p>
      <w:pPr>
        <w:spacing w:line="576" w:lineRule="exact"/>
        <w:jc w:val="left"/>
        <w:rPr>
          <w:b/>
          <w:sz w:val="44"/>
          <w:szCs w:val="44"/>
        </w:rPr>
      </w:pPr>
    </w:p>
    <w:p>
      <w:pPr>
        <w:pStyle w:val="27"/>
        <w:spacing w:line="576"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1.财政拨款收入：指单位从同级财政部门取得的财政预算资金。</w:t>
      </w:r>
    </w:p>
    <w:p>
      <w:pPr>
        <w:pStyle w:val="27"/>
        <w:spacing w:line="576"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2.事业收入：指事业单位开展专业业务活动及辅助活动取得的收入。</w:t>
      </w:r>
    </w:p>
    <w:p>
      <w:pPr>
        <w:pStyle w:val="27"/>
        <w:spacing w:line="576"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3.其他收入：指单位取得的除上述收入以外的各项收入。</w:t>
      </w:r>
    </w:p>
    <w:p>
      <w:pPr>
        <w:pStyle w:val="27"/>
        <w:spacing w:line="576"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4.使用非财政拨款结余：指事业单位使用以前年度积累的非财政拨款结余弥补当年收支差额的金额。 </w:t>
      </w:r>
    </w:p>
    <w:p>
      <w:pPr>
        <w:pStyle w:val="27"/>
        <w:spacing w:line="576"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5.年初结转和结余：指以前年度尚未完成、结转到本年按有关规定继续使用的资金。 </w:t>
      </w:r>
    </w:p>
    <w:p>
      <w:pPr>
        <w:pStyle w:val="27"/>
        <w:spacing w:line="576"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6.结余分配：指事业单位按照会计制度规定缴纳的所得税、提取的专用结余以及转入非财政拨款结余的金额等。</w:t>
      </w:r>
    </w:p>
    <w:p>
      <w:pPr>
        <w:pStyle w:val="27"/>
        <w:spacing w:line="576"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7.年末结转和结余：指单位按有关规定结转到下年或以后年度继续使用的资金。</w:t>
      </w:r>
    </w:p>
    <w:p>
      <w:pPr>
        <w:spacing w:before="240" w:line="576" w:lineRule="exact"/>
        <w:ind w:firstLine="640" w:firstLineChars="200"/>
        <w:rPr>
          <w:rFonts w:eastAsia="仿宋"/>
          <w:sz w:val="32"/>
          <w:szCs w:val="32"/>
        </w:rPr>
      </w:pPr>
      <w:r>
        <w:rPr>
          <w:rFonts w:eastAsia="仿宋_GB2312"/>
          <w:sz w:val="32"/>
          <w:szCs w:val="32"/>
        </w:rPr>
        <w:t>8.一般公共服务（类）档案事务（款）行政运行（项）: 指保障市档案馆正常运转</w:t>
      </w:r>
      <w:r>
        <w:rPr>
          <w:rFonts w:eastAsia="仿宋"/>
          <w:sz w:val="32"/>
          <w:szCs w:val="32"/>
        </w:rPr>
        <w:t>所需的工资、津补贴及各项商品服务支出的运行经费。</w:t>
      </w:r>
    </w:p>
    <w:p>
      <w:pPr>
        <w:pStyle w:val="27"/>
        <w:spacing w:line="576"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9.一般公共服务（类）档案事务（款）一般行政管理事务、档案馆（项）: 指保障市档案馆特定档案业务工作开展使用的资金。</w:t>
      </w:r>
    </w:p>
    <w:p>
      <w:pPr>
        <w:pStyle w:val="27"/>
        <w:spacing w:line="576"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10.一般公共服务（类）组织事务（款）其他组织事务支出（项）: 指挂职干部补助支出。</w:t>
      </w:r>
    </w:p>
    <w:p>
      <w:pPr>
        <w:pStyle w:val="27"/>
        <w:spacing w:line="576"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11.社会保障和就业（类）行政事业单位养老（款）退休支出（项）: 指市档案馆退休职工生活补助支出。</w:t>
      </w:r>
    </w:p>
    <w:p>
      <w:pPr>
        <w:pStyle w:val="27"/>
        <w:spacing w:line="576"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12.社会保障和就业（类）行政事业单位养老（款）机关事业基本养老保险支出（项）: 指市档案馆职工养老保险缴费支出。</w:t>
      </w:r>
    </w:p>
    <w:p>
      <w:pPr>
        <w:pStyle w:val="27"/>
        <w:spacing w:line="576"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13.社会保障和就业（类）抚恤（款）死亡抚恤支出（项）: 指市档案馆在职及退休职工死亡抚恤支出、遗属生活补助支出。</w:t>
      </w:r>
    </w:p>
    <w:p>
      <w:pPr>
        <w:pStyle w:val="27"/>
        <w:spacing w:line="576"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14.卫生健康（类）其他卫生健康（款）其他卫生健康支出（项）:指市档案馆异地老干部体检费支出。</w:t>
      </w:r>
    </w:p>
    <w:p>
      <w:pPr>
        <w:pStyle w:val="27"/>
        <w:spacing w:line="576"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15.住房保障（类）住房改革（款）住房公积金支出（项）: 指市档案馆职工住房公积金支出。</w:t>
      </w:r>
    </w:p>
    <w:p>
      <w:pPr>
        <w:spacing w:line="576" w:lineRule="exact"/>
        <w:ind w:firstLine="640" w:firstLineChars="200"/>
        <w:rPr>
          <w:rFonts w:eastAsia="仿宋_GB2312"/>
          <w:sz w:val="32"/>
          <w:szCs w:val="32"/>
        </w:rPr>
      </w:pPr>
      <w:r>
        <w:rPr>
          <w:rFonts w:eastAsia="仿宋_GB2312"/>
          <w:sz w:val="32"/>
          <w:szCs w:val="32"/>
        </w:rPr>
        <w:t>16.基本支出：指为保障机构正常运转、完成日常工作任务而发生的人员支出和公用支出。</w:t>
      </w:r>
    </w:p>
    <w:p>
      <w:pPr>
        <w:spacing w:line="576" w:lineRule="exact"/>
        <w:ind w:firstLine="640" w:firstLineChars="200"/>
        <w:rPr>
          <w:rFonts w:eastAsia="仿宋_GB2312"/>
          <w:sz w:val="32"/>
          <w:szCs w:val="32"/>
        </w:rPr>
      </w:pPr>
      <w:r>
        <w:rPr>
          <w:rFonts w:eastAsia="仿宋_GB2312"/>
          <w:sz w:val="32"/>
          <w:szCs w:val="32"/>
        </w:rPr>
        <w:t xml:space="preserve">17.项目支出：指在基本支出之外为完成特定行政任务和事业发展目标所发生的支出。 </w:t>
      </w:r>
    </w:p>
    <w:p>
      <w:pPr>
        <w:spacing w:line="576" w:lineRule="exact"/>
        <w:ind w:firstLine="640" w:firstLineChars="200"/>
        <w:rPr>
          <w:rFonts w:eastAsia="仿宋_GB2312"/>
          <w:sz w:val="32"/>
          <w:szCs w:val="32"/>
        </w:rPr>
      </w:pPr>
      <w:r>
        <w:rPr>
          <w:rFonts w:eastAsia="仿宋_GB2312"/>
          <w:sz w:val="32"/>
          <w:szCs w:val="32"/>
        </w:rPr>
        <w:t>18.经营支出：指事业单位在专业业务活动及其辅助活动之外开展非独立核算经营活动发生的支出。</w:t>
      </w:r>
    </w:p>
    <w:p>
      <w:pPr>
        <w:pStyle w:val="27"/>
        <w:spacing w:line="576"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19.“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76"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7"/>
        <w:spacing w:line="576" w:lineRule="exact"/>
        <w:ind w:firstLine="640" w:firstLineChars="200"/>
        <w:rPr>
          <w:rFonts w:ascii="Times New Roman" w:hAnsi="Times New Roman" w:eastAsia="仿宋_GB2312" w:cs="Times New Roman"/>
          <w:color w:val="auto"/>
          <w:sz w:val="32"/>
          <w:szCs w:val="32"/>
        </w:rPr>
      </w:pPr>
    </w:p>
    <w:p>
      <w:pPr>
        <w:pStyle w:val="27"/>
        <w:spacing w:line="576" w:lineRule="exact"/>
        <w:ind w:firstLine="640" w:firstLineChars="200"/>
        <w:rPr>
          <w:rFonts w:ascii="Times New Roman" w:hAnsi="Times New Roman" w:eastAsia="仿宋_GB2312" w:cs="Times New Roman"/>
          <w:color w:val="auto"/>
          <w:sz w:val="32"/>
          <w:szCs w:val="32"/>
        </w:rPr>
      </w:pPr>
    </w:p>
    <w:p>
      <w:pPr>
        <w:pStyle w:val="27"/>
        <w:spacing w:line="576" w:lineRule="exact"/>
        <w:ind w:firstLine="640" w:firstLineChars="200"/>
        <w:rPr>
          <w:rFonts w:ascii="Times New Roman" w:hAnsi="Times New Roman" w:eastAsia="仿宋_GB2312" w:cs="Times New Roman"/>
          <w:color w:val="auto"/>
          <w:sz w:val="32"/>
          <w:szCs w:val="32"/>
        </w:rPr>
      </w:pPr>
    </w:p>
    <w:p>
      <w:pPr>
        <w:pStyle w:val="27"/>
        <w:spacing w:line="576" w:lineRule="exact"/>
        <w:ind w:firstLine="640" w:firstLineChars="200"/>
        <w:rPr>
          <w:rFonts w:ascii="Times New Roman" w:hAnsi="Times New Roman" w:eastAsia="仿宋_GB2312" w:cs="Times New Roman"/>
          <w:color w:val="auto"/>
          <w:sz w:val="32"/>
          <w:szCs w:val="32"/>
        </w:rPr>
      </w:pPr>
    </w:p>
    <w:p>
      <w:pPr>
        <w:pStyle w:val="27"/>
        <w:spacing w:line="576" w:lineRule="exact"/>
        <w:ind w:firstLine="640" w:firstLineChars="200"/>
        <w:rPr>
          <w:rFonts w:ascii="Times New Roman" w:hAnsi="Times New Roman" w:eastAsia="仿宋_GB2312" w:cs="Times New Roman"/>
          <w:color w:val="auto"/>
          <w:sz w:val="32"/>
          <w:szCs w:val="32"/>
        </w:rPr>
      </w:pPr>
    </w:p>
    <w:p>
      <w:pPr>
        <w:pStyle w:val="27"/>
        <w:spacing w:line="576" w:lineRule="exact"/>
        <w:ind w:firstLine="640" w:firstLineChars="200"/>
        <w:rPr>
          <w:rFonts w:ascii="Times New Roman" w:hAnsi="Times New Roman" w:eastAsia="仿宋_GB2312" w:cs="Times New Roman"/>
          <w:color w:val="auto"/>
          <w:sz w:val="32"/>
          <w:szCs w:val="32"/>
        </w:rPr>
      </w:pPr>
    </w:p>
    <w:p>
      <w:pPr>
        <w:pStyle w:val="27"/>
        <w:spacing w:line="576" w:lineRule="exact"/>
        <w:ind w:firstLine="640" w:firstLineChars="200"/>
        <w:rPr>
          <w:rFonts w:ascii="Times New Roman" w:hAnsi="Times New Roman" w:eastAsia="仿宋_GB2312" w:cs="Times New Roman"/>
          <w:color w:val="auto"/>
          <w:sz w:val="32"/>
          <w:szCs w:val="32"/>
        </w:rPr>
      </w:pPr>
    </w:p>
    <w:p>
      <w:pPr>
        <w:pStyle w:val="27"/>
        <w:spacing w:line="576" w:lineRule="exact"/>
        <w:ind w:firstLine="640" w:firstLineChars="200"/>
        <w:rPr>
          <w:rFonts w:ascii="Times New Roman" w:hAnsi="Times New Roman" w:eastAsia="仿宋_GB2312" w:cs="Times New Roman"/>
          <w:color w:val="auto"/>
          <w:sz w:val="32"/>
          <w:szCs w:val="32"/>
        </w:rPr>
      </w:pPr>
    </w:p>
    <w:p>
      <w:pPr>
        <w:pStyle w:val="27"/>
        <w:spacing w:line="576" w:lineRule="exact"/>
        <w:ind w:firstLine="640" w:firstLineChars="200"/>
        <w:rPr>
          <w:rFonts w:ascii="Times New Roman" w:hAnsi="Times New Roman" w:eastAsia="仿宋_GB2312" w:cs="Times New Roman"/>
          <w:color w:val="auto"/>
          <w:sz w:val="32"/>
          <w:szCs w:val="32"/>
        </w:rPr>
      </w:pPr>
    </w:p>
    <w:p>
      <w:pPr>
        <w:pStyle w:val="27"/>
        <w:spacing w:line="576" w:lineRule="exact"/>
        <w:ind w:firstLine="640" w:firstLineChars="200"/>
        <w:rPr>
          <w:rFonts w:ascii="Times New Roman" w:hAnsi="Times New Roman" w:eastAsia="仿宋_GB2312" w:cs="Times New Roman"/>
          <w:color w:val="auto"/>
          <w:sz w:val="32"/>
          <w:szCs w:val="32"/>
        </w:rPr>
      </w:pPr>
    </w:p>
    <w:p>
      <w:pPr>
        <w:pStyle w:val="27"/>
        <w:spacing w:line="576" w:lineRule="exact"/>
        <w:ind w:firstLine="640" w:firstLineChars="200"/>
        <w:rPr>
          <w:rFonts w:ascii="Times New Roman" w:hAnsi="Times New Roman" w:eastAsia="仿宋_GB2312" w:cs="Times New Roman"/>
          <w:color w:val="auto"/>
          <w:sz w:val="32"/>
          <w:szCs w:val="32"/>
        </w:rPr>
      </w:pPr>
    </w:p>
    <w:p>
      <w:pPr>
        <w:pStyle w:val="27"/>
        <w:spacing w:line="576" w:lineRule="exact"/>
        <w:ind w:firstLine="640" w:firstLineChars="200"/>
        <w:rPr>
          <w:rFonts w:ascii="Times New Roman" w:hAnsi="Times New Roman" w:eastAsia="仿宋_GB2312" w:cs="Times New Roman"/>
          <w:color w:val="auto"/>
          <w:sz w:val="32"/>
          <w:szCs w:val="32"/>
        </w:rPr>
      </w:pPr>
    </w:p>
    <w:p>
      <w:pPr>
        <w:pStyle w:val="27"/>
        <w:spacing w:line="576" w:lineRule="exact"/>
        <w:ind w:firstLine="640" w:firstLineChars="200"/>
        <w:rPr>
          <w:rFonts w:ascii="Times New Roman" w:hAnsi="Times New Roman" w:eastAsia="仿宋_GB2312" w:cs="Times New Roman"/>
          <w:color w:val="auto"/>
          <w:sz w:val="32"/>
          <w:szCs w:val="32"/>
        </w:rPr>
      </w:pPr>
    </w:p>
    <w:p>
      <w:pPr>
        <w:pStyle w:val="27"/>
        <w:spacing w:line="576" w:lineRule="exact"/>
        <w:ind w:firstLine="640" w:firstLineChars="200"/>
        <w:rPr>
          <w:rFonts w:ascii="Times New Roman" w:hAnsi="Times New Roman" w:eastAsia="仿宋_GB2312" w:cs="Times New Roman"/>
          <w:color w:val="auto"/>
          <w:sz w:val="32"/>
          <w:szCs w:val="32"/>
        </w:rPr>
      </w:pPr>
    </w:p>
    <w:p>
      <w:pPr>
        <w:pStyle w:val="27"/>
        <w:spacing w:line="576" w:lineRule="exact"/>
        <w:ind w:firstLine="640" w:firstLineChars="200"/>
        <w:rPr>
          <w:rFonts w:ascii="Times New Roman" w:hAnsi="Times New Roman" w:eastAsia="仿宋_GB2312" w:cs="Times New Roman"/>
          <w:color w:val="auto"/>
          <w:sz w:val="32"/>
          <w:szCs w:val="32"/>
        </w:rPr>
      </w:pPr>
    </w:p>
    <w:p>
      <w:pPr>
        <w:pStyle w:val="27"/>
        <w:spacing w:line="576" w:lineRule="exact"/>
        <w:rPr>
          <w:rFonts w:ascii="Times New Roman" w:hAnsi="Times New Roman" w:eastAsia="仿宋_GB2312" w:cs="Times New Roman"/>
          <w:color w:val="auto"/>
          <w:sz w:val="32"/>
          <w:szCs w:val="32"/>
        </w:rPr>
      </w:pPr>
    </w:p>
    <w:p>
      <w:pPr>
        <w:spacing w:line="576" w:lineRule="exact"/>
        <w:jc w:val="center"/>
        <w:outlineLvl w:val="0"/>
        <w:rPr>
          <w:rStyle w:val="29"/>
          <w:rFonts w:eastAsia="黑体"/>
          <w:b w:val="0"/>
        </w:rPr>
      </w:pPr>
      <w:bookmarkStart w:id="107" w:name="_Toc15396614"/>
      <w:bookmarkStart w:id="108" w:name="_Toc717592090_WPSOffice_Level1"/>
      <w:bookmarkStart w:id="109" w:name="_Toc15377226"/>
      <w:r>
        <w:rPr>
          <w:rFonts w:eastAsia="黑体"/>
          <w:sz w:val="44"/>
          <w:szCs w:val="44"/>
        </w:rPr>
        <w:t>第</w:t>
      </w:r>
      <w:r>
        <w:rPr>
          <w:rStyle w:val="29"/>
          <w:rFonts w:eastAsia="黑体"/>
          <w:b w:val="0"/>
        </w:rPr>
        <w:t>四部分 附件</w:t>
      </w:r>
      <w:bookmarkEnd w:id="107"/>
      <w:bookmarkEnd w:id="108"/>
    </w:p>
    <w:p>
      <w:pPr>
        <w:widowControl/>
        <w:spacing w:line="576" w:lineRule="exact"/>
        <w:contextualSpacing/>
        <w:jc w:val="center"/>
        <w:rPr>
          <w:rFonts w:eastAsia="方正小标宋简体"/>
          <w:sz w:val="32"/>
          <w:szCs w:val="32"/>
        </w:rPr>
      </w:pPr>
      <w:bookmarkStart w:id="110" w:name="_Toc707827819_WPSOffice_Level2"/>
    </w:p>
    <w:p>
      <w:pPr>
        <w:widowControl/>
        <w:spacing w:line="576" w:lineRule="exact"/>
        <w:contextualSpacing/>
        <w:jc w:val="center"/>
        <w:rPr>
          <w:rFonts w:eastAsia="方正小标宋简体"/>
          <w:sz w:val="32"/>
          <w:szCs w:val="32"/>
        </w:rPr>
      </w:pPr>
      <w:r>
        <w:rPr>
          <w:rFonts w:eastAsia="方正小标宋简体"/>
          <w:sz w:val="32"/>
          <w:szCs w:val="32"/>
        </w:rPr>
        <w:t>2023年攀枝花市档案馆部门整体绩效评价报告</w:t>
      </w:r>
      <w:bookmarkEnd w:id="110"/>
    </w:p>
    <w:p>
      <w:pPr>
        <w:widowControl/>
        <w:adjustRightInd w:val="0"/>
        <w:snapToGrid w:val="0"/>
        <w:spacing w:line="576" w:lineRule="exact"/>
        <w:ind w:firstLine="640" w:firstLineChars="200"/>
        <w:contextualSpacing/>
        <w:jc w:val="left"/>
        <w:rPr>
          <w:rFonts w:eastAsia="黑体"/>
          <w:kern w:val="0"/>
          <w:sz w:val="32"/>
          <w:szCs w:val="32"/>
          <w:shd w:val="clear" w:color="auto" w:fill="FFFFFF"/>
        </w:rPr>
      </w:pPr>
    </w:p>
    <w:p>
      <w:pPr>
        <w:widowControl/>
        <w:adjustRightInd w:val="0"/>
        <w:snapToGrid w:val="0"/>
        <w:spacing w:line="576" w:lineRule="exact"/>
        <w:ind w:firstLine="640" w:firstLineChars="200"/>
        <w:contextualSpacing/>
        <w:jc w:val="left"/>
        <w:rPr>
          <w:rFonts w:eastAsia="方正黑体_GBK"/>
          <w:kern w:val="0"/>
          <w:sz w:val="32"/>
          <w:szCs w:val="32"/>
          <w:shd w:val="clear" w:color="auto" w:fill="FFFFFF"/>
        </w:rPr>
      </w:pPr>
      <w:bookmarkStart w:id="111" w:name="_Toc495745211_WPSOffice_Level2"/>
      <w:r>
        <w:rPr>
          <w:rFonts w:eastAsia="方正黑体_GBK"/>
          <w:kern w:val="0"/>
          <w:sz w:val="32"/>
          <w:szCs w:val="32"/>
          <w:shd w:val="clear" w:color="auto" w:fill="FFFFFF"/>
        </w:rPr>
        <w:t>一、部门概况</w:t>
      </w:r>
      <w:bookmarkEnd w:id="111"/>
    </w:p>
    <w:p>
      <w:pPr>
        <w:widowControl/>
        <w:adjustRightInd w:val="0"/>
        <w:snapToGrid w:val="0"/>
        <w:spacing w:line="576" w:lineRule="exact"/>
        <w:ind w:firstLine="642" w:firstLineChars="200"/>
        <w:contextualSpacing/>
        <w:jc w:val="left"/>
        <w:rPr>
          <w:rFonts w:eastAsia="方正楷体_GBK"/>
          <w:b/>
          <w:bCs/>
          <w:kern w:val="0"/>
          <w:sz w:val="32"/>
          <w:szCs w:val="32"/>
          <w:shd w:val="clear" w:color="auto" w:fill="FFFFFF"/>
        </w:rPr>
      </w:pPr>
      <w:r>
        <w:rPr>
          <w:rFonts w:eastAsia="方正楷体_GBK"/>
          <w:b/>
          <w:bCs/>
          <w:kern w:val="0"/>
          <w:sz w:val="32"/>
          <w:szCs w:val="32"/>
          <w:shd w:val="clear" w:color="auto" w:fill="FFFFFF"/>
        </w:rPr>
        <w:t>（一）机构组成</w:t>
      </w:r>
    </w:p>
    <w:p>
      <w:pPr>
        <w:widowControl/>
        <w:adjustRightInd w:val="0"/>
        <w:snapToGrid w:val="0"/>
        <w:spacing w:line="576" w:lineRule="exact"/>
        <w:ind w:firstLine="660" w:firstLineChars="200"/>
        <w:contextualSpacing/>
        <w:jc w:val="left"/>
        <w:rPr>
          <w:rFonts w:eastAsia="方正仿宋_GBK"/>
          <w:kern w:val="0"/>
          <w:sz w:val="32"/>
          <w:szCs w:val="32"/>
          <w:shd w:val="clear" w:color="auto" w:fill="FFFFFF"/>
        </w:rPr>
      </w:pPr>
      <w:r>
        <w:rPr>
          <w:rFonts w:eastAsia="方正仿宋_GBK"/>
          <w:sz w:val="33"/>
          <w:szCs w:val="33"/>
        </w:rPr>
        <w:t>2022年，攀枝花市档案馆为市委直属事业单位，由市委办代管，内设办公室、档案征集整理科、档案保管利用科、档案编研科、信息技术科、档案接收科、档案宣教科、组织人事科8个职能科室，其中档案宣教科由原档案开发展览科（爱国主义教育基地工作科）更名。</w:t>
      </w:r>
    </w:p>
    <w:p>
      <w:pPr>
        <w:snapToGrid w:val="0"/>
        <w:spacing w:line="576" w:lineRule="exact"/>
        <w:ind w:firstLine="642" w:firstLineChars="200"/>
        <w:rPr>
          <w:rFonts w:eastAsia="方正楷体_GBK"/>
          <w:b/>
          <w:bCs/>
          <w:kern w:val="0"/>
          <w:sz w:val="32"/>
          <w:szCs w:val="32"/>
          <w:shd w:val="clear" w:color="auto" w:fill="FFFFFF"/>
        </w:rPr>
      </w:pPr>
      <w:r>
        <w:rPr>
          <w:rFonts w:eastAsia="方正楷体_GBK"/>
          <w:b/>
          <w:bCs/>
          <w:kern w:val="0"/>
          <w:sz w:val="32"/>
          <w:szCs w:val="32"/>
          <w:shd w:val="clear" w:color="auto" w:fill="FFFFFF"/>
        </w:rPr>
        <w:t>（二）机构职能</w:t>
      </w:r>
    </w:p>
    <w:p>
      <w:pPr>
        <w:snapToGrid w:val="0"/>
        <w:spacing w:line="576" w:lineRule="exact"/>
        <w:rPr>
          <w:rFonts w:eastAsia="方正仿宋_GBK"/>
          <w:sz w:val="33"/>
          <w:szCs w:val="33"/>
        </w:rPr>
      </w:pPr>
      <w:r>
        <w:rPr>
          <w:rFonts w:eastAsia="方正仿宋_GBK"/>
          <w:sz w:val="33"/>
          <w:szCs w:val="33"/>
        </w:rPr>
        <w:t xml:space="preserve">    根据事业单位法人证书宗旨和业务范围的登记，攀枝花市档案馆（以下简称市档案馆）的职能有：收集保存提供利用档案资料，促进社会经济文化科学发展。（档案、资料）收集、整理、保管、鉴定；档案资料信息资源的开发利用；档案资料网络系统（设计、施工、维护、管理）；档案资料数字化处理；档案资料编纂；档案学研究；知识培训与社会教育。</w:t>
      </w:r>
    </w:p>
    <w:p>
      <w:pPr>
        <w:snapToGrid w:val="0"/>
        <w:spacing w:line="576" w:lineRule="exact"/>
        <w:ind w:firstLine="642" w:firstLineChars="200"/>
        <w:rPr>
          <w:rFonts w:eastAsia="方正楷体_GBK"/>
          <w:b/>
          <w:bCs/>
          <w:kern w:val="0"/>
          <w:sz w:val="32"/>
          <w:szCs w:val="32"/>
          <w:shd w:val="clear" w:color="auto" w:fill="FFFFFF"/>
        </w:rPr>
      </w:pPr>
      <w:r>
        <w:rPr>
          <w:rFonts w:eastAsia="方正楷体_GBK"/>
          <w:b/>
          <w:bCs/>
          <w:kern w:val="0"/>
          <w:sz w:val="32"/>
          <w:szCs w:val="32"/>
          <w:shd w:val="clear" w:color="auto" w:fill="FFFFFF"/>
        </w:rPr>
        <w:t>（三）人员概况</w:t>
      </w:r>
    </w:p>
    <w:p>
      <w:pPr>
        <w:snapToGrid w:val="0"/>
        <w:spacing w:line="576" w:lineRule="exact"/>
        <w:rPr>
          <w:rFonts w:eastAsia="方正仿宋_GBK"/>
          <w:sz w:val="33"/>
          <w:szCs w:val="33"/>
        </w:rPr>
      </w:pPr>
      <w:r>
        <w:rPr>
          <w:rFonts w:eastAsia="方正仿宋_GBK"/>
          <w:sz w:val="33"/>
          <w:szCs w:val="33"/>
        </w:rPr>
        <w:t xml:space="preserve">    按照《中共攀枝花市委机构编制委员会关于明确攀枝花市档案馆有关机构编制事项的通知》（攀编发〔2019〕12号）和《中共攀枝花市委机构编制委员会关于调整攀枝花市档案馆有关机构编制事项的通知》（攀编办〔2019〕51号）文件明确，市档案馆人员编制核定为28名，内设机构为8个。截至2022年底，在编27人，其中参公事业编制26人，事业工勤编制1人。退休职工25人。</w:t>
      </w:r>
    </w:p>
    <w:p>
      <w:pPr>
        <w:widowControl/>
        <w:numPr>
          <w:ilvl w:val="0"/>
          <w:numId w:val="4"/>
        </w:numPr>
        <w:adjustRightInd w:val="0"/>
        <w:snapToGrid w:val="0"/>
        <w:spacing w:line="560" w:lineRule="exact"/>
        <w:ind w:firstLine="642" w:firstLineChars="200"/>
        <w:contextualSpacing/>
        <w:jc w:val="left"/>
        <w:rPr>
          <w:rFonts w:eastAsia="楷体_GB2312"/>
          <w:b/>
          <w:bCs/>
          <w:kern w:val="0"/>
          <w:sz w:val="32"/>
          <w:szCs w:val="32"/>
          <w:shd w:val="clear" w:color="auto" w:fill="FFFFFF"/>
          <w:lang w:val="zh-CN"/>
        </w:rPr>
      </w:pPr>
      <w:r>
        <w:rPr>
          <w:rFonts w:eastAsia="楷体_GB2312"/>
          <w:b/>
          <w:bCs/>
          <w:kern w:val="0"/>
          <w:sz w:val="32"/>
          <w:szCs w:val="32"/>
          <w:shd w:val="clear" w:color="auto" w:fill="FFFFFF"/>
          <w:lang w:val="zh-CN"/>
        </w:rPr>
        <w:t>年度主要工作任务</w:t>
      </w:r>
    </w:p>
    <w:p>
      <w:pPr>
        <w:autoSpaceDN w:val="0"/>
        <w:spacing w:line="580" w:lineRule="exact"/>
        <w:ind w:firstLine="662" w:firstLineChars="200"/>
        <w:rPr>
          <w:rFonts w:eastAsia="方正仿宋_GBK"/>
          <w:sz w:val="33"/>
          <w:szCs w:val="33"/>
        </w:rPr>
      </w:pPr>
      <w:r>
        <w:rPr>
          <w:rFonts w:eastAsia="方正楷体_GBK"/>
          <w:b/>
          <w:bCs/>
          <w:kern w:val="0"/>
          <w:sz w:val="33"/>
          <w:szCs w:val="33"/>
          <w:lang w:bidi="ar"/>
        </w:rPr>
        <w:t>1.坚持党建引领，做好党建工作。</w:t>
      </w:r>
      <w:r>
        <w:rPr>
          <w:rFonts w:eastAsia="方正仿宋_GBK"/>
          <w:b/>
          <w:bCs/>
          <w:kern w:val="0"/>
          <w:sz w:val="33"/>
          <w:szCs w:val="33"/>
          <w:lang w:bidi="ar"/>
        </w:rPr>
        <w:t>一是</w:t>
      </w:r>
      <w:r>
        <w:rPr>
          <w:rFonts w:eastAsia="方正仿宋_GBK"/>
          <w:kern w:val="0"/>
          <w:sz w:val="33"/>
          <w:szCs w:val="33"/>
          <w:lang w:bidi="ar"/>
        </w:rPr>
        <w:t>坚持党建引领业务。印发机关党支部工作要点，开展档案馆党建引领项目攻坚“三亮三比”主题活动。组织开展理论中心组学习等各类政治学习、主题党日活动11次，参加全市“文明劝导”志愿服务5轮32人次，撰写上报机关党建调研课题报告1篇，持续提升党建工作实效。二</w:t>
      </w:r>
      <w:r>
        <w:rPr>
          <w:rFonts w:eastAsia="方正仿宋_GBK"/>
          <w:b/>
          <w:bCs/>
          <w:kern w:val="0"/>
          <w:sz w:val="33"/>
          <w:szCs w:val="33"/>
          <w:lang w:bidi="ar"/>
        </w:rPr>
        <w:t>是</w:t>
      </w:r>
      <w:r>
        <w:rPr>
          <w:rFonts w:eastAsia="方正仿宋_GBK"/>
          <w:kern w:val="0"/>
          <w:sz w:val="33"/>
          <w:szCs w:val="33"/>
          <w:lang w:bidi="ar"/>
        </w:rPr>
        <w:t>制发《攀枝花市档案馆2022年全面从严治党、党风廉政建设和反腐败斗争工作要点》，组织廉政文化学习、观看警示片、参观“阳光纪检•以案为训”巡展、打造机关廉政文化墙，切实推进党风廉政建设。三</w:t>
      </w:r>
      <w:r>
        <w:rPr>
          <w:rFonts w:eastAsia="方正仿宋_GBK"/>
          <w:b/>
          <w:bCs/>
          <w:kern w:val="0"/>
          <w:sz w:val="33"/>
          <w:szCs w:val="33"/>
          <w:lang w:bidi="ar"/>
        </w:rPr>
        <w:t>是</w:t>
      </w:r>
      <w:r>
        <w:rPr>
          <w:rFonts w:eastAsia="方正仿宋_GBK"/>
          <w:kern w:val="0"/>
          <w:sz w:val="33"/>
          <w:szCs w:val="33"/>
          <w:lang w:bidi="ar"/>
        </w:rPr>
        <w:t>严格落实意识形态工作责任制，每季度开展意识形态研判和重点问题风险排查，全年开展领导班子理论学习中心组学习8次，出台《攀枝花市档案馆重大活动 决策及项目舆情风险评估制度》。</w:t>
      </w:r>
    </w:p>
    <w:p>
      <w:pPr>
        <w:autoSpaceDN w:val="0"/>
        <w:spacing w:line="580" w:lineRule="exact"/>
        <w:rPr>
          <w:rFonts w:eastAsia="方正仿宋_GBK"/>
          <w:sz w:val="33"/>
          <w:szCs w:val="33"/>
        </w:rPr>
      </w:pPr>
      <w:r>
        <w:rPr>
          <w:rFonts w:eastAsia="方正楷体_GBK"/>
          <w:b/>
          <w:bCs/>
          <w:kern w:val="0"/>
          <w:sz w:val="33"/>
          <w:szCs w:val="33"/>
          <w:lang w:bidi="ar"/>
        </w:rPr>
        <w:t xml:space="preserve">    2.落实法治政府建设要求，提高依法治档水平。</w:t>
      </w:r>
      <w:r>
        <w:rPr>
          <w:rFonts w:eastAsia="方正仿宋_GBK"/>
          <w:b/>
          <w:bCs/>
          <w:kern w:val="0"/>
          <w:sz w:val="33"/>
          <w:szCs w:val="33"/>
          <w:lang w:bidi="ar"/>
        </w:rPr>
        <w:t>一是</w:t>
      </w:r>
      <w:r>
        <w:rPr>
          <w:rFonts w:eastAsia="方正仿宋_GBK"/>
          <w:kern w:val="0"/>
          <w:sz w:val="33"/>
          <w:szCs w:val="33"/>
          <w:lang w:bidi="ar"/>
        </w:rPr>
        <w:t>在“6•9国际档案日”、“12•4国家宪法日”等节点，开展形式多样的档案普法活动，提高公众档案意识。</w:t>
      </w:r>
      <w:r>
        <w:rPr>
          <w:rFonts w:eastAsia="方正仿宋_GBK"/>
          <w:b/>
          <w:bCs/>
          <w:kern w:val="0"/>
          <w:sz w:val="33"/>
          <w:szCs w:val="33"/>
          <w:lang w:bidi="ar"/>
        </w:rPr>
        <w:t>二是</w:t>
      </w:r>
      <w:r>
        <w:rPr>
          <w:rFonts w:eastAsia="方正仿宋_GBK"/>
          <w:kern w:val="0"/>
          <w:sz w:val="33"/>
          <w:szCs w:val="33"/>
          <w:lang w:bidi="ar"/>
        </w:rPr>
        <w:t>组织全市档案执法人员开展集体培训及档案违法案例学习研讨，参加在线学法、理论知识竞赛等活动，提升执法实战工作能力。</w:t>
      </w:r>
      <w:r>
        <w:rPr>
          <w:rFonts w:eastAsia="方正仿宋_GBK"/>
          <w:b/>
          <w:bCs/>
          <w:kern w:val="0"/>
          <w:sz w:val="33"/>
          <w:szCs w:val="33"/>
          <w:lang w:bidi="ar"/>
        </w:rPr>
        <w:t>三是</w:t>
      </w:r>
      <w:r>
        <w:rPr>
          <w:rFonts w:eastAsia="方正仿宋_GBK"/>
          <w:kern w:val="0"/>
          <w:sz w:val="33"/>
          <w:szCs w:val="33"/>
          <w:lang w:bidi="ar"/>
        </w:rPr>
        <w:t>动态调整优化权责清单，及时认领档案部门行政权力事项，梳理出2条行政执法重点领域突出问题，并建账销号，有效规范权力运行。</w:t>
      </w:r>
      <w:r>
        <w:rPr>
          <w:rFonts w:eastAsia="方正仿宋_GBK"/>
          <w:b/>
          <w:bCs/>
          <w:kern w:val="0"/>
          <w:sz w:val="33"/>
          <w:szCs w:val="33"/>
          <w:lang w:bidi="ar"/>
        </w:rPr>
        <w:t>四是</w:t>
      </w:r>
      <w:r>
        <w:rPr>
          <w:rFonts w:eastAsia="方正仿宋_GBK"/>
          <w:kern w:val="0"/>
          <w:sz w:val="33"/>
          <w:szCs w:val="33"/>
          <w:lang w:bidi="ar"/>
        </w:rPr>
        <w:t>配备13名执法人员，完成由市档案局交办的对全市29家部门（单位）开展档案行政执法检查工作任务，同时办结对全市首例档案违法案件的查处。</w:t>
      </w:r>
    </w:p>
    <w:p>
      <w:pPr>
        <w:autoSpaceDN w:val="0"/>
        <w:spacing w:line="580" w:lineRule="exact"/>
        <w:rPr>
          <w:rFonts w:eastAsia="方正仿宋_GBK"/>
          <w:sz w:val="33"/>
          <w:szCs w:val="33"/>
        </w:rPr>
      </w:pPr>
      <w:r>
        <w:rPr>
          <w:rFonts w:eastAsia="方正楷体_GBK"/>
          <w:b/>
          <w:bCs/>
          <w:kern w:val="0"/>
          <w:sz w:val="33"/>
          <w:szCs w:val="33"/>
          <w:lang w:bidi="ar"/>
        </w:rPr>
        <w:t xml:space="preserve">    3.深化“放管服”改革工作，提升政务服务水平。 </w:t>
      </w:r>
      <w:r>
        <w:rPr>
          <w:rFonts w:eastAsia="方正仿宋_GBK"/>
          <w:kern w:val="0"/>
          <w:sz w:val="33"/>
          <w:szCs w:val="33"/>
          <w:lang w:bidi="ar"/>
        </w:rPr>
        <w:t>建立长效检查整改机制，开展线下政务服务专项检查，办事指南在四川政务服务网和实体大厅同源发布、同步更新。在“互联网+监管”平台发布监管事项目录清单4大项。全年完成平台资源数据编目19条，其中5个依申请办理事项全部纳入省一体化平台运行，100%实现可“全程网办”。</w:t>
      </w:r>
    </w:p>
    <w:p>
      <w:pPr>
        <w:autoSpaceDN w:val="0"/>
        <w:spacing w:line="580" w:lineRule="exact"/>
        <w:ind w:firstLine="662" w:firstLineChars="200"/>
        <w:rPr>
          <w:rFonts w:eastAsia="方正仿宋_GBK"/>
          <w:sz w:val="33"/>
          <w:szCs w:val="33"/>
        </w:rPr>
      </w:pPr>
      <w:r>
        <w:rPr>
          <w:rFonts w:eastAsia="方正楷体_GBK"/>
          <w:b/>
          <w:bCs/>
          <w:kern w:val="0"/>
          <w:sz w:val="33"/>
          <w:szCs w:val="33"/>
          <w:lang w:bidi="ar"/>
        </w:rPr>
        <w:t>4.围绕中心服务大局，做好重要领域档案服务。</w:t>
      </w:r>
      <w:r>
        <w:rPr>
          <w:rFonts w:eastAsia="方正仿宋_GBK"/>
          <w:b/>
          <w:bCs/>
          <w:sz w:val="33"/>
          <w:szCs w:val="33"/>
          <w:lang w:bidi="ar"/>
        </w:rPr>
        <w:t>一是</w:t>
      </w:r>
      <w:r>
        <w:rPr>
          <w:rFonts w:eastAsia="方正仿宋_GBK"/>
          <w:kern w:val="0"/>
          <w:sz w:val="33"/>
          <w:szCs w:val="33"/>
          <w:lang w:bidi="ar"/>
        </w:rPr>
        <w:t>完成2021年疫情防控档案移交进馆；提早介入党史学习教育档案归档工作及我市全国文明城市创建活动，有效规范档案归集。</w:t>
      </w:r>
      <w:r>
        <w:rPr>
          <w:rFonts w:eastAsia="方正仿宋_GBK"/>
          <w:b/>
          <w:bCs/>
          <w:sz w:val="33"/>
          <w:szCs w:val="33"/>
          <w:lang w:bidi="ar"/>
        </w:rPr>
        <w:t>二是</w:t>
      </w:r>
      <w:r>
        <w:rPr>
          <w:rFonts w:eastAsia="方正仿宋_GBK"/>
          <w:kern w:val="0"/>
          <w:sz w:val="33"/>
          <w:szCs w:val="33"/>
          <w:lang w:bidi="ar"/>
        </w:rPr>
        <w:t>针对全市政法队伍教育整顿活动、市卫生计生监督执法支队创建省级卫生健康监督机构规范化建设试点、全市既有住宅增设电梯工作等重点任务提供档案监督指导服务</w:t>
      </w:r>
      <w:r>
        <w:rPr>
          <w:rFonts w:eastAsia="方正仿宋_GBK"/>
          <w:sz w:val="33"/>
          <w:szCs w:val="33"/>
          <w:lang w:bidi="ar"/>
        </w:rPr>
        <w:t>。</w:t>
      </w:r>
      <w:r>
        <w:rPr>
          <w:rFonts w:eastAsia="方正仿宋_GBK"/>
          <w:b/>
          <w:bCs/>
          <w:sz w:val="33"/>
          <w:szCs w:val="33"/>
          <w:lang w:bidi="ar"/>
        </w:rPr>
        <w:t>三是</w:t>
      </w:r>
      <w:r>
        <w:rPr>
          <w:rFonts w:eastAsia="方正仿宋_GBK"/>
          <w:kern w:val="0"/>
          <w:sz w:val="33"/>
          <w:szCs w:val="33"/>
          <w:lang w:bidi="ar"/>
        </w:rPr>
        <w:t>探索建立攀枝花市重大（重点）建设项目档案专家人才库模式。主动对接2022年全市重大、纳入全省重点项目牵头部门（单位），开展建设项目档案登记，摸清家底，经市档案局审核向省局报送19个在攀2022年建设项目档案验收计划。</w:t>
      </w:r>
    </w:p>
    <w:p>
      <w:pPr>
        <w:autoSpaceDN w:val="0"/>
        <w:spacing w:line="580" w:lineRule="exact"/>
        <w:ind w:firstLine="662" w:firstLineChars="200"/>
        <w:rPr>
          <w:rFonts w:eastAsia="方正仿宋_GBK"/>
          <w:sz w:val="33"/>
          <w:szCs w:val="33"/>
        </w:rPr>
      </w:pPr>
      <w:r>
        <w:rPr>
          <w:rFonts w:eastAsia="方正楷体_GBK"/>
          <w:b/>
          <w:bCs/>
          <w:kern w:val="0"/>
          <w:sz w:val="33"/>
          <w:szCs w:val="33"/>
          <w:lang w:bidi="ar"/>
        </w:rPr>
        <w:t>5.立足数字档案馆建设，加快档案信息化步伐。</w:t>
      </w:r>
      <w:r>
        <w:rPr>
          <w:rFonts w:eastAsia="方正仿宋_GBK"/>
          <w:b/>
          <w:bCs/>
          <w:kern w:val="0"/>
          <w:sz w:val="33"/>
          <w:szCs w:val="33"/>
          <w:lang w:bidi="ar"/>
        </w:rPr>
        <w:t>一是</w:t>
      </w:r>
      <w:r>
        <w:rPr>
          <w:rFonts w:eastAsia="方正仿宋_GBK"/>
          <w:kern w:val="0"/>
          <w:sz w:val="33"/>
          <w:szCs w:val="33"/>
          <w:lang w:bidi="ar"/>
        </w:rPr>
        <w:t>制定《攀枝花市档案馆信息化建设“十四五”规划》，优化《攀枝花市数字档案馆建设方案》。我馆被纳入省级首批推进建设单位，争取到省级配套资金150万元。</w:t>
      </w:r>
      <w:r>
        <w:rPr>
          <w:rFonts w:eastAsia="方正仿宋_GBK"/>
          <w:b/>
          <w:bCs/>
          <w:kern w:val="0"/>
          <w:sz w:val="33"/>
          <w:szCs w:val="33"/>
          <w:lang w:bidi="ar"/>
        </w:rPr>
        <w:t>二是</w:t>
      </w:r>
      <w:r>
        <w:rPr>
          <w:rFonts w:eastAsia="方正仿宋_GBK"/>
          <w:kern w:val="0"/>
          <w:sz w:val="33"/>
          <w:szCs w:val="33"/>
          <w:lang w:bidi="ar"/>
        </w:rPr>
        <w:t>与市大数据中心对接，引入档案前端控制，完成新协同平台电子公文在线归档功能上线测试。</w:t>
      </w:r>
      <w:r>
        <w:rPr>
          <w:rFonts w:eastAsia="方正仿宋_GBK"/>
          <w:b/>
          <w:bCs/>
          <w:kern w:val="0"/>
          <w:sz w:val="33"/>
          <w:szCs w:val="33"/>
          <w:lang w:bidi="ar"/>
        </w:rPr>
        <w:t>三是</w:t>
      </w:r>
      <w:r>
        <w:rPr>
          <w:rFonts w:eastAsia="方正仿宋_GBK"/>
          <w:kern w:val="0"/>
          <w:sz w:val="33"/>
          <w:szCs w:val="33"/>
          <w:lang w:bidi="ar"/>
        </w:rPr>
        <w:t>自主开发攀钢档案电子数据与我市档案管理系统数据接口，实现攀钢退休职工人事档案顺利向县（区）馆移交；开发档案电子数据四性检测软件，利用该软件接收4项全宗电子档案2860件。</w:t>
      </w:r>
    </w:p>
    <w:p>
      <w:pPr>
        <w:autoSpaceDN w:val="0"/>
        <w:spacing w:line="580" w:lineRule="exact"/>
        <w:ind w:firstLine="662" w:firstLineChars="200"/>
        <w:rPr>
          <w:rFonts w:eastAsia="方正仿宋_GBK"/>
          <w:sz w:val="33"/>
          <w:szCs w:val="33"/>
        </w:rPr>
      </w:pPr>
      <w:r>
        <w:rPr>
          <w:rFonts w:eastAsia="方正楷体_GBK"/>
          <w:b/>
          <w:bCs/>
          <w:kern w:val="0"/>
          <w:sz w:val="33"/>
          <w:szCs w:val="33"/>
          <w:lang w:bidi="ar"/>
        </w:rPr>
        <w:t>6.夯实档案基础业务，提高基层档案管理水平。</w:t>
      </w:r>
      <w:r>
        <w:rPr>
          <w:rFonts w:eastAsia="方正仿宋_GBK"/>
          <w:b/>
          <w:bCs/>
          <w:sz w:val="33"/>
          <w:szCs w:val="33"/>
          <w:lang w:bidi="ar"/>
        </w:rPr>
        <w:t>一是</w:t>
      </w:r>
      <w:r>
        <w:rPr>
          <w:rFonts w:eastAsia="方正仿宋_GBK"/>
          <w:kern w:val="0"/>
          <w:sz w:val="33"/>
          <w:szCs w:val="33"/>
          <w:lang w:bidi="ar"/>
        </w:rPr>
        <w:t>加强档案资源体系建设。持续开展特色档案征集，征集到503电厂平面布置图、市委老领导和攀枝花老建设者的照片、实物等各类档案3000余件；全年整理完成6022件（册）实体及电子数据进库。制定进馆档案划控内容指南，完善“双套制”进馆标准，全年接收29个全宗，共计4200余卷、6.5万余件档案进馆。</w:t>
      </w:r>
      <w:r>
        <w:rPr>
          <w:rFonts w:eastAsia="方正仿宋_GBK"/>
          <w:b/>
          <w:bCs/>
          <w:sz w:val="33"/>
          <w:szCs w:val="33"/>
          <w:lang w:bidi="ar"/>
        </w:rPr>
        <w:t>二是</w:t>
      </w:r>
      <w:r>
        <w:rPr>
          <w:rFonts w:eastAsia="方正仿宋_GBK"/>
          <w:kern w:val="0"/>
          <w:sz w:val="33"/>
          <w:szCs w:val="33"/>
          <w:lang w:bidi="ar"/>
        </w:rPr>
        <w:t>加强档案安全体系建设。修订完善档案库房管理、安全应急预案等8个制度规范。结合三年执法检查，督促全市各机关单位、各县（区）开展安全隐患自查，并实地开展指导检查。执行汛期档案安全周报告制度，保障档案实体安全。建成相互物理隔离的局域网、行政办公网络，实现馆藏档案电子数据在线备份、离线备份和异地备份，多渠道保障档案信息安全。</w:t>
      </w:r>
      <w:r>
        <w:rPr>
          <w:rFonts w:eastAsia="方正仿宋_GBK"/>
          <w:b/>
          <w:bCs/>
          <w:sz w:val="33"/>
          <w:szCs w:val="33"/>
          <w:lang w:bidi="ar"/>
        </w:rPr>
        <w:t>三是</w:t>
      </w:r>
      <w:r>
        <w:rPr>
          <w:rFonts w:eastAsia="方正仿宋_GBK"/>
          <w:kern w:val="0"/>
          <w:sz w:val="33"/>
          <w:szCs w:val="33"/>
          <w:lang w:bidi="ar"/>
        </w:rPr>
        <w:t>加强档案利用体系建设。制定《攀枝花市档案馆未开放档案利用制度》。开设特殊人员“绿色查档通道”，提供电话查档、信函查档、异地查档等多项便民档案利用服务，接待档案查阅利用群众1034人次，调阅案卷22615卷（件），免费为群众复印档案资料11099页。</w:t>
      </w:r>
      <w:r>
        <w:rPr>
          <w:rFonts w:eastAsia="方正仿宋_GBK"/>
          <w:b/>
          <w:bCs/>
          <w:kern w:val="0"/>
          <w:sz w:val="33"/>
          <w:szCs w:val="33"/>
          <w:lang w:bidi="ar"/>
        </w:rPr>
        <w:t>四是</w:t>
      </w:r>
      <w:r>
        <w:rPr>
          <w:rFonts w:eastAsia="方正仿宋_GBK"/>
          <w:kern w:val="0"/>
          <w:sz w:val="33"/>
          <w:szCs w:val="33"/>
          <w:lang w:bidi="ar"/>
        </w:rPr>
        <w:t>发挥档案资政育人作用。紧扣“喜迎二十大•档案颂辉煌”主题，举办“礼献攀枝花 喜迎二十大——攀枝花市档案馆受赠书法作品展”；积极参加全省“千人读档”活动。承办“不忘初心 牢记使命——中央档案馆档案文献展攀枝花巡展点”活动，在我馆办公区域开辟“档案里的攀枝花”档案文化长廊。“用档案讲好三线故事 传承三线精神”纳入基层党员示范轮训班教学内容，开发《弘扬三线精神 做优秀党员领导干部》《好风习习传万家——习仲勋家风故事》两堂专题党课。</w:t>
      </w:r>
    </w:p>
    <w:p>
      <w:pPr>
        <w:autoSpaceDN w:val="0"/>
        <w:spacing w:line="580" w:lineRule="exact"/>
        <w:ind w:firstLine="662" w:firstLineChars="200"/>
        <w:rPr>
          <w:lang w:val="zh-CN"/>
        </w:rPr>
      </w:pPr>
      <w:r>
        <w:rPr>
          <w:rFonts w:eastAsia="方正楷体_GBK"/>
          <w:b/>
          <w:bCs/>
          <w:kern w:val="0"/>
          <w:sz w:val="33"/>
          <w:szCs w:val="33"/>
          <w:lang w:bidi="ar"/>
        </w:rPr>
        <w:t>7.实施人才强档工程，稳步推进人才队伍建设。</w:t>
      </w:r>
      <w:r>
        <w:rPr>
          <w:rFonts w:eastAsia="方正仿宋_GBK"/>
          <w:b/>
          <w:bCs/>
          <w:sz w:val="33"/>
          <w:szCs w:val="33"/>
          <w:lang w:bidi="ar"/>
        </w:rPr>
        <w:t>一是</w:t>
      </w:r>
      <w:r>
        <w:rPr>
          <w:rFonts w:eastAsia="方正仿宋_GBK"/>
          <w:kern w:val="0"/>
          <w:sz w:val="33"/>
          <w:szCs w:val="33"/>
          <w:lang w:bidi="ar"/>
        </w:rPr>
        <w:t>通过集中培训、在线培训、视频教学等形式培训档案干部100余人次。提拔1名馆内干部为副县级领导职务，提拔任用1985后正科级干部3人，完成6名干部职级晋升（含3名县级非领导职务）。</w:t>
      </w:r>
      <w:r>
        <w:rPr>
          <w:rFonts w:eastAsia="方正仿宋_GBK"/>
          <w:b/>
          <w:bCs/>
          <w:sz w:val="33"/>
          <w:szCs w:val="33"/>
          <w:lang w:bidi="ar"/>
        </w:rPr>
        <w:t>二是</w:t>
      </w:r>
      <w:r>
        <w:rPr>
          <w:rFonts w:eastAsia="方正仿宋_GBK"/>
          <w:kern w:val="0"/>
          <w:sz w:val="33"/>
          <w:szCs w:val="33"/>
          <w:lang w:bidi="ar"/>
        </w:rPr>
        <w:t>组建攀枝花市档案专业人才专家库，收录全市各行业档案专业高级人才28名（含正高2名）；开展2022年度档案职称评审工作，通过初、中级职称评定分别24人、12人，组织向省上申报档案专业副研究馆员11人。</w:t>
      </w:r>
    </w:p>
    <w:p>
      <w:pPr>
        <w:widowControl/>
        <w:adjustRightInd w:val="0"/>
        <w:snapToGrid w:val="0"/>
        <w:spacing w:line="576" w:lineRule="exact"/>
        <w:ind w:firstLine="642" w:firstLineChars="200"/>
        <w:contextualSpacing/>
        <w:jc w:val="left"/>
        <w:rPr>
          <w:rFonts w:eastAsia="楷体_GB2312"/>
          <w:b/>
          <w:bCs/>
          <w:kern w:val="0"/>
          <w:sz w:val="32"/>
          <w:szCs w:val="32"/>
          <w:shd w:val="clear" w:color="auto" w:fill="FFFFFF"/>
          <w:lang w:val="zh-CN"/>
        </w:rPr>
      </w:pPr>
      <w:r>
        <w:rPr>
          <w:rFonts w:eastAsia="楷体_GB2312"/>
          <w:b/>
          <w:bCs/>
          <w:kern w:val="0"/>
          <w:sz w:val="32"/>
          <w:szCs w:val="32"/>
          <w:shd w:val="clear" w:color="auto" w:fill="FFFFFF"/>
          <w:lang w:val="zh-CN"/>
        </w:rPr>
        <w:t>（五）部门整体支出绩效目标</w:t>
      </w:r>
    </w:p>
    <w:p>
      <w:pPr>
        <w:pStyle w:val="2"/>
        <w:spacing w:before="93"/>
        <w:rPr>
          <w:rFonts w:ascii="Times New Roman"/>
          <w:lang w:val="zh-CN"/>
        </w:rPr>
      </w:pPr>
      <w:r>
        <w:rPr>
          <w:rFonts w:ascii="Times New Roman" w:eastAsia="方正仿宋_GBK"/>
          <w:spacing w:val="-4"/>
          <w:sz w:val="32"/>
          <w:szCs w:val="32"/>
        </w:rPr>
        <w:t xml:space="preserve">    坚持以习近平新时代中国特色社会主义思想为指引，认真做好党建工作；</w:t>
      </w:r>
      <w:r>
        <w:rPr>
          <w:rFonts w:ascii="Times New Roman" w:eastAsia="方正仿宋_GBK"/>
          <w:sz w:val="33"/>
          <w:szCs w:val="33"/>
          <w:lang w:bidi="ar"/>
        </w:rPr>
        <w:t>继续做好重大活动、重点工作档案业务监督指导工作，加大建设项目档案业务的监督指导，配合做好我市高质量发展建设共同富裕试验区、三线精神研究、历史文化名城创建、“攀枝花芒果”地理标志产品保护申报等全市重点工作，提供好档案服务；全面推行建立“三合一”制度工作，促进我市档案规范化管理水平稳步提升；扎实开展2023年度计划移交单位的档案接收进馆工作，加快推进全市各级机关、企事业单位电子公文和电子文件在新协同平台上归档，探索脱贫攻坚、疫情防控、共同富裕试验区等重点工作档案专题数据库建设；加强馆藏档案数字化项目实施管理，积极向上争取资金，推动档案数字化工作提质增效；坚持档案工作围绕中心、服务大局，扎实做好党建、干部队伍、意识形态等工作，持续深化机关廉洁文化建设，不断筑牢干部职工拒腐防变的思想防线。</w:t>
      </w:r>
    </w:p>
    <w:p>
      <w:pPr>
        <w:widowControl/>
        <w:adjustRightInd w:val="0"/>
        <w:snapToGrid w:val="0"/>
        <w:spacing w:line="576" w:lineRule="exact"/>
        <w:ind w:firstLine="640" w:firstLineChars="200"/>
        <w:contextualSpacing/>
        <w:jc w:val="left"/>
        <w:rPr>
          <w:rFonts w:eastAsia="黑体"/>
          <w:kern w:val="0"/>
          <w:sz w:val="32"/>
          <w:szCs w:val="32"/>
          <w:shd w:val="clear" w:color="auto" w:fill="FFFFFF"/>
        </w:rPr>
      </w:pPr>
      <w:bookmarkStart w:id="112" w:name="_Toc276432058_WPSOffice_Level2"/>
      <w:r>
        <w:rPr>
          <w:rFonts w:eastAsia="黑体"/>
          <w:kern w:val="0"/>
          <w:sz w:val="32"/>
          <w:szCs w:val="32"/>
          <w:shd w:val="clear" w:color="auto" w:fill="FFFFFF"/>
        </w:rPr>
        <w:t>二、部门资金收支情况</w:t>
      </w:r>
      <w:bookmarkEnd w:id="112"/>
    </w:p>
    <w:p>
      <w:pPr>
        <w:widowControl/>
        <w:adjustRightInd w:val="0"/>
        <w:snapToGrid w:val="0"/>
        <w:spacing w:line="576" w:lineRule="exact"/>
        <w:ind w:firstLine="642" w:firstLineChars="200"/>
        <w:contextualSpacing/>
        <w:jc w:val="left"/>
        <w:rPr>
          <w:rFonts w:eastAsia="楷体_GB2312"/>
          <w:b/>
          <w:bCs/>
          <w:kern w:val="0"/>
          <w:sz w:val="32"/>
          <w:szCs w:val="32"/>
          <w:shd w:val="clear" w:color="auto" w:fill="FFFFFF"/>
          <w:lang w:val="zh-CN"/>
        </w:rPr>
      </w:pPr>
      <w:r>
        <w:rPr>
          <w:rFonts w:eastAsia="楷体_GB2312"/>
          <w:b/>
          <w:bCs/>
          <w:kern w:val="0"/>
          <w:sz w:val="32"/>
          <w:szCs w:val="32"/>
          <w:shd w:val="clear" w:color="auto" w:fill="FFFFFF"/>
          <w:lang w:val="zh-CN"/>
        </w:rPr>
        <w:t>（一）部门总体收支情况</w:t>
      </w:r>
    </w:p>
    <w:p>
      <w:pPr>
        <w:widowControl/>
        <w:adjustRightInd w:val="0"/>
        <w:snapToGrid w:val="0"/>
        <w:spacing w:line="560" w:lineRule="exact"/>
        <w:ind w:firstLine="626" w:firstLineChars="200"/>
        <w:contextualSpacing/>
        <w:jc w:val="left"/>
        <w:rPr>
          <w:rFonts w:eastAsia="方正仿宋_GBK"/>
          <w:b/>
          <w:spacing w:val="-4"/>
          <w:kern w:val="0"/>
          <w:sz w:val="32"/>
          <w:szCs w:val="32"/>
          <w:shd w:val="clear" w:color="auto" w:fill="FFFFFF"/>
        </w:rPr>
      </w:pPr>
      <w:r>
        <w:rPr>
          <w:rFonts w:eastAsia="方正仿宋_GBK"/>
          <w:b/>
          <w:spacing w:val="-4"/>
          <w:kern w:val="0"/>
          <w:sz w:val="32"/>
          <w:szCs w:val="32"/>
          <w:shd w:val="clear" w:color="auto" w:fill="FFFFFF"/>
        </w:rPr>
        <w:t>1.部门总体收入情况</w:t>
      </w:r>
    </w:p>
    <w:p>
      <w:pPr>
        <w:widowControl/>
        <w:adjustRightInd w:val="0"/>
        <w:snapToGrid w:val="0"/>
        <w:spacing w:line="560" w:lineRule="exact"/>
        <w:ind w:firstLine="624" w:firstLineChars="200"/>
        <w:contextualSpacing/>
        <w:jc w:val="left"/>
        <w:rPr>
          <w:rFonts w:eastAsia="方正仿宋_GBK"/>
          <w:spacing w:val="-4"/>
          <w:kern w:val="0"/>
          <w:sz w:val="32"/>
          <w:szCs w:val="32"/>
          <w:shd w:val="clear" w:color="auto" w:fill="FFFFFF"/>
        </w:rPr>
      </w:pPr>
      <w:r>
        <w:rPr>
          <w:rFonts w:eastAsia="方正仿宋_GBK"/>
          <w:spacing w:val="-4"/>
          <w:kern w:val="0"/>
          <w:sz w:val="32"/>
          <w:szCs w:val="32"/>
          <w:shd w:val="clear" w:color="auto" w:fill="FFFFFF"/>
        </w:rPr>
        <w:t>2022年本年预算收入合计827.98万元，其中</w:t>
      </w:r>
      <w:r>
        <w:rPr>
          <w:rFonts w:eastAsia="方正仿宋_GBK"/>
          <w:sz w:val="33"/>
          <w:szCs w:val="33"/>
        </w:rPr>
        <w:t>基本支出预算752.97万元，年中追加项目支出预算75万元。</w:t>
      </w:r>
    </w:p>
    <w:p>
      <w:pPr>
        <w:widowControl/>
        <w:adjustRightInd w:val="0"/>
        <w:snapToGrid w:val="0"/>
        <w:spacing w:line="560" w:lineRule="exact"/>
        <w:ind w:firstLine="626" w:firstLineChars="200"/>
        <w:contextualSpacing/>
        <w:jc w:val="left"/>
        <w:rPr>
          <w:rFonts w:eastAsia="方正仿宋_GBK"/>
          <w:b/>
          <w:spacing w:val="-4"/>
          <w:kern w:val="0"/>
          <w:sz w:val="32"/>
          <w:szCs w:val="32"/>
          <w:shd w:val="clear" w:color="auto" w:fill="FFFFFF"/>
        </w:rPr>
      </w:pPr>
      <w:r>
        <w:rPr>
          <w:rFonts w:eastAsia="方正仿宋_GBK"/>
          <w:b/>
          <w:spacing w:val="-4"/>
          <w:kern w:val="0"/>
          <w:sz w:val="32"/>
          <w:szCs w:val="32"/>
          <w:shd w:val="clear" w:color="auto" w:fill="FFFFFF"/>
        </w:rPr>
        <w:t>2.部门总体支出情况</w:t>
      </w:r>
    </w:p>
    <w:p>
      <w:pPr>
        <w:snapToGrid w:val="0"/>
        <w:spacing w:line="576" w:lineRule="exact"/>
        <w:ind w:firstLine="660" w:firstLineChars="200"/>
        <w:rPr>
          <w:rFonts w:eastAsia="方正仿宋_GBK"/>
          <w:sz w:val="33"/>
          <w:szCs w:val="33"/>
        </w:rPr>
      </w:pPr>
      <w:r>
        <w:rPr>
          <w:rFonts w:eastAsia="方正仿宋_GBK"/>
          <w:sz w:val="33"/>
          <w:szCs w:val="33"/>
        </w:rPr>
        <w:t>2022年攀枝花市档案馆单位预算总支出831.09万元，其中基本支出752.97万元，项目支出78.12万元。</w:t>
      </w:r>
    </w:p>
    <w:p>
      <w:pPr>
        <w:widowControl/>
        <w:adjustRightInd w:val="0"/>
        <w:snapToGrid w:val="0"/>
        <w:spacing w:line="560" w:lineRule="exact"/>
        <w:ind w:firstLine="626" w:firstLineChars="200"/>
        <w:contextualSpacing/>
        <w:jc w:val="left"/>
        <w:rPr>
          <w:rFonts w:eastAsia="方正仿宋_GBK"/>
          <w:b/>
          <w:spacing w:val="-4"/>
          <w:kern w:val="0"/>
          <w:sz w:val="32"/>
          <w:szCs w:val="32"/>
          <w:shd w:val="clear" w:color="auto" w:fill="FFFFFF"/>
        </w:rPr>
      </w:pPr>
      <w:r>
        <w:rPr>
          <w:rFonts w:eastAsia="方正仿宋_GBK"/>
          <w:b/>
          <w:spacing w:val="-4"/>
          <w:kern w:val="0"/>
          <w:sz w:val="32"/>
          <w:szCs w:val="32"/>
          <w:shd w:val="clear" w:color="auto" w:fill="FFFFFF"/>
        </w:rPr>
        <w:t>3.部门总体结转结余情况</w:t>
      </w:r>
    </w:p>
    <w:p>
      <w:pPr>
        <w:widowControl/>
        <w:adjustRightInd w:val="0"/>
        <w:snapToGrid w:val="0"/>
        <w:spacing w:line="560" w:lineRule="exact"/>
        <w:ind w:firstLine="624" w:firstLineChars="200"/>
        <w:contextualSpacing/>
        <w:jc w:val="left"/>
        <w:rPr>
          <w:rFonts w:eastAsia="方正仿宋_GBK"/>
          <w:spacing w:val="-4"/>
          <w:kern w:val="0"/>
          <w:sz w:val="32"/>
          <w:szCs w:val="32"/>
          <w:shd w:val="clear" w:color="auto" w:fill="FFFFFF"/>
        </w:rPr>
      </w:pPr>
      <w:r>
        <w:rPr>
          <w:rFonts w:eastAsia="方正仿宋_GBK"/>
          <w:spacing w:val="-4"/>
          <w:kern w:val="0"/>
          <w:sz w:val="32"/>
          <w:szCs w:val="32"/>
          <w:shd w:val="clear" w:color="auto" w:fill="FFFFFF"/>
        </w:rPr>
        <w:t>2022年市档案馆年初结转结余76.46万元，年末无结转结余。</w:t>
      </w:r>
    </w:p>
    <w:p>
      <w:pPr>
        <w:widowControl/>
        <w:adjustRightInd w:val="0"/>
        <w:snapToGrid w:val="0"/>
        <w:spacing w:line="576" w:lineRule="exact"/>
        <w:ind w:firstLine="642" w:firstLineChars="200"/>
        <w:contextualSpacing/>
        <w:jc w:val="left"/>
        <w:rPr>
          <w:rFonts w:eastAsia="楷体_GB2312"/>
          <w:b/>
          <w:bCs/>
          <w:kern w:val="0"/>
          <w:sz w:val="32"/>
          <w:szCs w:val="32"/>
          <w:shd w:val="clear" w:color="auto" w:fill="FFFFFF"/>
          <w:lang w:val="zh-CN"/>
        </w:rPr>
      </w:pPr>
      <w:r>
        <w:rPr>
          <w:rFonts w:eastAsia="楷体_GB2312"/>
          <w:b/>
          <w:bCs/>
          <w:kern w:val="0"/>
          <w:sz w:val="32"/>
          <w:szCs w:val="32"/>
          <w:shd w:val="clear" w:color="auto" w:fill="FFFFFF"/>
          <w:lang w:val="zh-CN"/>
        </w:rPr>
        <w:t>（二）部门财政拨款收支情况</w:t>
      </w:r>
    </w:p>
    <w:p>
      <w:pPr>
        <w:snapToGrid w:val="0"/>
        <w:spacing w:line="576" w:lineRule="exact"/>
        <w:ind w:firstLine="660" w:firstLineChars="200"/>
        <w:rPr>
          <w:rFonts w:eastAsia="方正仿宋_GBK"/>
          <w:sz w:val="33"/>
          <w:szCs w:val="33"/>
        </w:rPr>
      </w:pPr>
      <w:r>
        <w:rPr>
          <w:rFonts w:eastAsia="方正仿宋_GBK"/>
          <w:sz w:val="33"/>
          <w:szCs w:val="33"/>
        </w:rPr>
        <w:t>2022年攀枝花市档案馆单位预算总支出831.09万元，其中基本支出752.97万元，项目支出78.12万元。</w:t>
      </w:r>
    </w:p>
    <w:p>
      <w:pPr>
        <w:widowControl/>
        <w:snapToGrid w:val="0"/>
        <w:spacing w:line="576" w:lineRule="exact"/>
        <w:rPr>
          <w:rFonts w:eastAsia="方正仿宋_GBK"/>
          <w:sz w:val="33"/>
          <w:szCs w:val="33"/>
        </w:rPr>
      </w:pPr>
      <w:r>
        <w:rPr>
          <w:rFonts w:eastAsia="方正仿宋_GBK"/>
          <w:b/>
          <w:bCs/>
          <w:sz w:val="33"/>
          <w:szCs w:val="33"/>
        </w:rPr>
        <w:t xml:space="preserve">   （1）基本支出情况</w:t>
      </w:r>
    </w:p>
    <w:p>
      <w:pPr>
        <w:widowControl/>
        <w:snapToGrid w:val="0"/>
        <w:spacing w:line="576" w:lineRule="exact"/>
        <w:rPr>
          <w:rFonts w:eastAsia="方正仿宋_GBK"/>
          <w:sz w:val="33"/>
          <w:szCs w:val="33"/>
        </w:rPr>
      </w:pPr>
      <w:r>
        <w:rPr>
          <w:rFonts w:eastAsia="方正仿宋_GBK"/>
          <w:sz w:val="33"/>
          <w:szCs w:val="33"/>
        </w:rPr>
        <w:t xml:space="preserve">    2022年共安排基本支出预算752.97万元，实际支出752.97万元。主要用于维持单位正常运转的人员工资、福利待遇的发放和单位水电费、差旅费、公务接待费等公用经费方面的支出，有效保证了市档案馆机构的正常、有序运转和基本职能的实现。</w:t>
      </w:r>
    </w:p>
    <w:p>
      <w:pPr>
        <w:widowControl/>
        <w:snapToGrid w:val="0"/>
        <w:spacing w:line="576" w:lineRule="exact"/>
        <w:rPr>
          <w:rFonts w:eastAsia="方正仿宋_GBK"/>
          <w:b/>
          <w:bCs/>
          <w:spacing w:val="-4"/>
          <w:sz w:val="33"/>
          <w:szCs w:val="33"/>
        </w:rPr>
      </w:pPr>
      <w:r>
        <w:rPr>
          <w:rFonts w:eastAsia="方正仿宋_GBK"/>
          <w:b/>
          <w:bCs/>
          <w:spacing w:val="-4"/>
          <w:sz w:val="33"/>
          <w:szCs w:val="33"/>
        </w:rPr>
        <w:t xml:space="preserve">    2.项目支出情况</w:t>
      </w:r>
    </w:p>
    <w:p>
      <w:pPr>
        <w:widowControl/>
        <w:adjustRightInd w:val="0"/>
        <w:snapToGrid w:val="0"/>
        <w:spacing w:line="576" w:lineRule="exact"/>
        <w:ind w:firstLine="660" w:firstLineChars="200"/>
        <w:contextualSpacing/>
        <w:jc w:val="left"/>
        <w:rPr>
          <w:rFonts w:eastAsia="方正仿宋_GBK"/>
          <w:sz w:val="33"/>
          <w:szCs w:val="33"/>
        </w:rPr>
      </w:pPr>
      <w:r>
        <w:rPr>
          <w:rFonts w:eastAsia="方正仿宋_GBK"/>
          <w:sz w:val="33"/>
          <w:szCs w:val="33"/>
        </w:rPr>
        <w:t>2022年项目支出78.12万元，支出包含市档案馆搬迁经费支出60万元，李国超艺术档案捐赠项目支出15万元，重点档案抢救保护经费支出3.12万元。各项目圆满实现既定目标，完成李国超档案征集、归档并举办“礼献攀枝花 喜迎二十大——攀枝花市档案馆受赠书法作品展”，完成《攀枝花重大历史回顾》编研约稿费用及机关文化墙及库房重点区域氛围营造项目费用支付，实现市档案馆搬迁项目按阶段支付。</w:t>
      </w:r>
    </w:p>
    <w:p>
      <w:pPr>
        <w:widowControl/>
        <w:adjustRightInd w:val="0"/>
        <w:snapToGrid w:val="0"/>
        <w:spacing w:line="576" w:lineRule="exact"/>
        <w:ind w:firstLine="660" w:firstLineChars="200"/>
        <w:contextualSpacing/>
        <w:jc w:val="left"/>
        <w:rPr>
          <w:rFonts w:eastAsia="方正仿宋_GBK"/>
          <w:sz w:val="33"/>
          <w:szCs w:val="33"/>
        </w:rPr>
      </w:pPr>
      <w:r>
        <w:rPr>
          <w:rFonts w:eastAsia="方正仿宋_GBK"/>
          <w:sz w:val="33"/>
          <w:szCs w:val="33"/>
        </w:rPr>
        <w:t>2022年争取四川省档案事业发展专项经费150万元，省财政厅已于2022年8月拨付到位，已按工作计划开展纸质档案数字化加工及存储设备采购项目，因合同约定按工程进度结账及年终财政停止国库支付等原因，2022年未实现支付，指标财政追减收回，2023年申请结转使用。</w:t>
      </w:r>
    </w:p>
    <w:p>
      <w:pPr>
        <w:widowControl/>
        <w:snapToGrid w:val="0"/>
        <w:spacing w:line="576" w:lineRule="exact"/>
        <w:rPr>
          <w:rFonts w:eastAsia="方正仿宋_GBK"/>
          <w:b/>
          <w:bCs/>
          <w:spacing w:val="-4"/>
          <w:sz w:val="33"/>
          <w:szCs w:val="33"/>
        </w:rPr>
      </w:pPr>
      <w:r>
        <w:rPr>
          <w:rFonts w:eastAsia="方正仿宋_GBK"/>
          <w:b/>
          <w:bCs/>
          <w:spacing w:val="-4"/>
          <w:sz w:val="33"/>
          <w:szCs w:val="33"/>
        </w:rPr>
        <w:t xml:space="preserve">    3.部门财政拨款结转结余情况</w:t>
      </w:r>
    </w:p>
    <w:p>
      <w:pPr>
        <w:widowControl/>
        <w:adjustRightInd w:val="0"/>
        <w:snapToGrid w:val="0"/>
        <w:spacing w:line="560" w:lineRule="exact"/>
        <w:ind w:firstLine="624" w:firstLineChars="200"/>
        <w:contextualSpacing/>
        <w:jc w:val="left"/>
        <w:rPr>
          <w:rFonts w:eastAsia="方正仿宋_GBK"/>
        </w:rPr>
      </w:pPr>
      <w:r>
        <w:rPr>
          <w:rFonts w:eastAsia="方正仿宋_GBK"/>
          <w:spacing w:val="-4"/>
          <w:kern w:val="0"/>
          <w:sz w:val="32"/>
          <w:szCs w:val="32"/>
          <w:shd w:val="clear" w:color="auto" w:fill="FFFFFF"/>
        </w:rPr>
        <w:t>2022年市档案馆年初结转结余76.46万元，年末无结转结余。</w:t>
      </w:r>
    </w:p>
    <w:p>
      <w:pPr>
        <w:widowControl/>
        <w:adjustRightInd w:val="0"/>
        <w:snapToGrid w:val="0"/>
        <w:spacing w:line="576" w:lineRule="exact"/>
        <w:ind w:firstLine="640" w:firstLineChars="200"/>
        <w:contextualSpacing/>
        <w:jc w:val="left"/>
        <w:rPr>
          <w:rFonts w:eastAsia="黑体"/>
          <w:kern w:val="0"/>
          <w:sz w:val="32"/>
          <w:szCs w:val="32"/>
          <w:shd w:val="clear" w:color="auto" w:fill="FFFFFF"/>
        </w:rPr>
      </w:pPr>
      <w:bookmarkStart w:id="113" w:name="_Toc393150069_WPSOffice_Level2"/>
      <w:r>
        <w:rPr>
          <w:rFonts w:eastAsia="黑体"/>
          <w:kern w:val="0"/>
          <w:sz w:val="32"/>
          <w:szCs w:val="32"/>
          <w:shd w:val="clear" w:color="auto" w:fill="FFFFFF"/>
        </w:rPr>
        <w:t>三、部门整体绩效分析</w:t>
      </w:r>
      <w:bookmarkEnd w:id="113"/>
    </w:p>
    <w:p>
      <w:pPr>
        <w:widowControl/>
        <w:adjustRightInd w:val="0"/>
        <w:snapToGrid w:val="0"/>
        <w:spacing w:line="576" w:lineRule="exact"/>
        <w:ind w:firstLine="642" w:firstLineChars="200"/>
        <w:contextualSpacing/>
        <w:jc w:val="left"/>
        <w:rPr>
          <w:rFonts w:eastAsia="楷体_GB2312"/>
          <w:kern w:val="0"/>
          <w:sz w:val="32"/>
          <w:szCs w:val="32"/>
          <w:shd w:val="clear" w:color="auto" w:fill="FFFFFF"/>
        </w:rPr>
      </w:pPr>
      <w:r>
        <w:rPr>
          <w:rFonts w:eastAsia="楷体_GB2312"/>
          <w:b/>
          <w:bCs/>
          <w:kern w:val="0"/>
          <w:sz w:val="32"/>
          <w:szCs w:val="32"/>
          <w:shd w:val="clear" w:color="auto" w:fill="FFFFFF"/>
          <w:lang w:val="zh-CN"/>
        </w:rPr>
        <w:t>（一）部门预算项目绩效分析</w:t>
      </w:r>
    </w:p>
    <w:p>
      <w:pPr>
        <w:spacing w:line="576" w:lineRule="exact"/>
        <w:ind w:firstLine="646" w:firstLineChars="200"/>
        <w:outlineLvl w:val="0"/>
        <w:rPr>
          <w:rFonts w:eastAsia="方正楷体_GBK"/>
          <w:b/>
          <w:bCs/>
          <w:spacing w:val="-4"/>
          <w:sz w:val="33"/>
          <w:szCs w:val="33"/>
        </w:rPr>
      </w:pPr>
      <w:r>
        <w:rPr>
          <w:rFonts w:eastAsia="方正楷体_GBK"/>
          <w:b/>
          <w:bCs/>
          <w:spacing w:val="-4"/>
          <w:sz w:val="33"/>
          <w:szCs w:val="33"/>
        </w:rPr>
        <w:t>1.人员类</w:t>
      </w:r>
    </w:p>
    <w:p>
      <w:pPr>
        <w:spacing w:line="576" w:lineRule="exact"/>
        <w:ind w:firstLine="660" w:firstLineChars="200"/>
        <w:jc w:val="left"/>
        <w:outlineLvl w:val="0"/>
        <w:rPr>
          <w:rFonts w:eastAsia="方正楷体_GBK"/>
          <w:b/>
          <w:bCs/>
          <w:spacing w:val="-4"/>
          <w:sz w:val="33"/>
          <w:szCs w:val="33"/>
        </w:rPr>
      </w:pPr>
      <w:r>
        <w:rPr>
          <w:rFonts w:eastAsia="方正仿宋_GBK"/>
          <w:sz w:val="33"/>
          <w:szCs w:val="33"/>
        </w:rPr>
        <w:t>2022年及时准确核算发放27名在职及25名退休人员的工资和各项待遇，共支出人员经费695.5万元，主要包括：基本工资、津贴补贴、奖金、绩效工资、机关事业单位基本养老保险缴费、职业年金缴费、其他社会保障缴费、其他工资福利支出、离休费、退休费、抚恤金、生活补助、医疗费补助、奖励金、住房公积金、其他对个人和家庭的补助支出等。</w:t>
      </w:r>
      <w:r>
        <w:rPr>
          <w:rFonts w:eastAsia="方正仿宋_GBK"/>
          <w:sz w:val="33"/>
          <w:szCs w:val="33"/>
        </w:rPr>
        <w:br w:type="textWrapping"/>
      </w:r>
      <w:r>
        <w:rPr>
          <w:rFonts w:eastAsia="方正仿宋_GBK"/>
          <w:spacing w:val="-4"/>
          <w:sz w:val="33"/>
          <w:szCs w:val="33"/>
        </w:rPr>
        <w:t xml:space="preserve">    </w:t>
      </w:r>
      <w:r>
        <w:rPr>
          <w:rFonts w:eastAsia="方正楷体_GBK"/>
          <w:b/>
          <w:bCs/>
          <w:spacing w:val="-4"/>
          <w:sz w:val="33"/>
          <w:szCs w:val="33"/>
        </w:rPr>
        <w:t>2.运转类</w:t>
      </w:r>
    </w:p>
    <w:p>
      <w:pPr>
        <w:widowControl/>
        <w:adjustRightInd w:val="0"/>
        <w:snapToGrid w:val="0"/>
        <w:spacing w:line="576" w:lineRule="exact"/>
        <w:ind w:firstLine="660" w:firstLineChars="200"/>
        <w:contextualSpacing/>
        <w:jc w:val="left"/>
        <w:rPr>
          <w:rFonts w:eastAsia="方正仿宋_GBK"/>
          <w:spacing w:val="-4"/>
          <w:sz w:val="33"/>
          <w:szCs w:val="33"/>
        </w:rPr>
      </w:pPr>
      <w:r>
        <w:rPr>
          <w:rFonts w:eastAsia="方正仿宋_GBK"/>
          <w:sz w:val="33"/>
          <w:szCs w:val="33"/>
        </w:rPr>
        <w:t>2022年贯彻市委、市政府过紧日子要求，按照厉行节约原则，严格控制“三公经费”支出，强化支出及项目绩效管理，保证机关和直属事业单位的正常运转，按照规定使用日常公用经费57.46万元，主要包括：办公费、印刷费、水费、电费、邮电费、物业管理费、差旅费、维修（护）费、会议费、培训费、公务接待费、劳务费、党建费、委托业务费、工会经费、福利费、公务用车运行维护费、其他交通费、税金及附加费用、其他商品和服务支出、办公设备购置、信息网络及软件维护等。</w:t>
      </w:r>
    </w:p>
    <w:p>
      <w:pPr>
        <w:spacing w:line="576" w:lineRule="exact"/>
        <w:ind w:firstLine="646" w:firstLineChars="200"/>
        <w:outlineLvl w:val="0"/>
        <w:rPr>
          <w:rFonts w:eastAsia="方正楷体_GBK"/>
          <w:b/>
          <w:bCs/>
          <w:spacing w:val="-4"/>
          <w:sz w:val="33"/>
          <w:szCs w:val="33"/>
        </w:rPr>
      </w:pPr>
      <w:r>
        <w:rPr>
          <w:rFonts w:eastAsia="方正楷体_GBK"/>
          <w:b/>
          <w:bCs/>
          <w:spacing w:val="-4"/>
          <w:sz w:val="33"/>
          <w:szCs w:val="33"/>
        </w:rPr>
        <w:t>3.特定目标类项目</w:t>
      </w:r>
    </w:p>
    <w:p>
      <w:pPr>
        <w:widowControl/>
        <w:adjustRightInd w:val="0"/>
        <w:snapToGrid w:val="0"/>
        <w:spacing w:line="576" w:lineRule="exact"/>
        <w:ind w:firstLine="660" w:firstLineChars="200"/>
        <w:contextualSpacing/>
        <w:jc w:val="left"/>
        <w:rPr>
          <w:rFonts w:eastAsia="方正仿宋_GBK"/>
          <w:sz w:val="33"/>
          <w:szCs w:val="33"/>
        </w:rPr>
      </w:pPr>
      <w:r>
        <w:rPr>
          <w:rFonts w:eastAsia="方正仿宋_GBK"/>
          <w:sz w:val="33"/>
          <w:szCs w:val="33"/>
        </w:rPr>
        <w:t>2022年特定目标类部门预算项目4项，其中，2022年初安排项目预算0元，年中追加市级财政项目预算75万元，追加省级档案事业发展专项经费150万元，结转上年档案抢救保护经费3.12万元，年终因财政停止国库支付追减项目支出预算150万元，实际支出78.12万元。具体完成如下：</w:t>
      </w:r>
    </w:p>
    <w:p>
      <w:pPr>
        <w:widowControl/>
        <w:adjustRightInd w:val="0"/>
        <w:snapToGrid w:val="0"/>
        <w:spacing w:line="576" w:lineRule="exact"/>
        <w:ind w:firstLine="660" w:firstLineChars="200"/>
        <w:contextualSpacing/>
        <w:jc w:val="left"/>
        <w:rPr>
          <w:rFonts w:eastAsia="方正仿宋_GBK"/>
          <w:sz w:val="33"/>
          <w:szCs w:val="33"/>
        </w:rPr>
      </w:pPr>
      <w:r>
        <w:rPr>
          <w:rFonts w:eastAsia="方正仿宋_GBK"/>
          <w:sz w:val="33"/>
          <w:szCs w:val="33"/>
        </w:rPr>
        <w:t>（1）市档案馆搬迁经费支出60万元。实现市档案馆搬迁项目按阶段支付，分别是档案移库搬迁项目支出40万元、库房有轨密集架采购安装、旧馆库房有轨密集架移库安装项目支出20万元。</w:t>
      </w:r>
    </w:p>
    <w:p>
      <w:pPr>
        <w:widowControl/>
        <w:adjustRightInd w:val="0"/>
        <w:snapToGrid w:val="0"/>
        <w:spacing w:line="576" w:lineRule="exact"/>
        <w:ind w:firstLine="660" w:firstLineChars="200"/>
        <w:contextualSpacing/>
        <w:jc w:val="left"/>
        <w:rPr>
          <w:rFonts w:eastAsia="方正仿宋_GBK"/>
          <w:sz w:val="33"/>
          <w:szCs w:val="33"/>
        </w:rPr>
      </w:pPr>
      <w:r>
        <w:rPr>
          <w:rFonts w:eastAsia="方正仿宋_GBK"/>
          <w:sz w:val="33"/>
          <w:szCs w:val="33"/>
        </w:rPr>
        <w:t>（2）李国超艺术档案捐赠项目支出15万元，主要用于李国超档案征集、归档并举办“礼献攀枝花 喜迎二十大——攀枝花市档案馆受赠书法作品展”及《攀枝花重大历史回顾》编研约稿费用支付。</w:t>
      </w:r>
    </w:p>
    <w:p>
      <w:pPr>
        <w:widowControl/>
        <w:adjustRightInd w:val="0"/>
        <w:snapToGrid w:val="0"/>
        <w:spacing w:line="576" w:lineRule="exact"/>
        <w:ind w:firstLine="660" w:firstLineChars="200"/>
        <w:contextualSpacing/>
        <w:jc w:val="left"/>
        <w:rPr>
          <w:rFonts w:eastAsia="方正仿宋_GBK"/>
          <w:sz w:val="33"/>
          <w:szCs w:val="33"/>
        </w:rPr>
      </w:pPr>
      <w:r>
        <w:rPr>
          <w:rFonts w:eastAsia="方正仿宋_GBK"/>
          <w:sz w:val="33"/>
          <w:szCs w:val="33"/>
        </w:rPr>
        <w:t>（3）重点档案抢救保护经费支出3.12万元。主要用于机关文化墙及库房重点区域氛围营造项目费用支付。</w:t>
      </w:r>
    </w:p>
    <w:p>
      <w:pPr>
        <w:widowControl/>
        <w:adjustRightInd w:val="0"/>
        <w:snapToGrid w:val="0"/>
        <w:spacing w:line="576" w:lineRule="exact"/>
        <w:contextualSpacing/>
        <w:jc w:val="left"/>
        <w:rPr>
          <w:rFonts w:eastAsia="方正仿宋_GBK"/>
          <w:sz w:val="33"/>
          <w:szCs w:val="33"/>
        </w:rPr>
      </w:pPr>
      <w:r>
        <w:rPr>
          <w:rFonts w:eastAsia="方正仿宋_GBK"/>
          <w:sz w:val="33"/>
          <w:szCs w:val="33"/>
        </w:rPr>
        <w:t xml:space="preserve">    （4）省级档案事业发展专项经费150万元，追减收回150万元，实际支付0万元，其中已完成纸质档案数字化加工项目招标105万元及存储设备采购项目招标45万元。</w:t>
      </w:r>
    </w:p>
    <w:p>
      <w:pPr>
        <w:widowControl/>
        <w:adjustRightInd w:val="0"/>
        <w:snapToGrid w:val="0"/>
        <w:spacing w:line="576" w:lineRule="exact"/>
        <w:ind w:firstLine="642" w:firstLineChars="200"/>
        <w:contextualSpacing/>
        <w:jc w:val="left"/>
        <w:rPr>
          <w:rFonts w:eastAsia="楷体_GB2312"/>
          <w:b/>
          <w:bCs/>
          <w:kern w:val="0"/>
          <w:sz w:val="32"/>
          <w:szCs w:val="32"/>
          <w:shd w:val="clear" w:color="auto" w:fill="FFFFFF"/>
          <w:lang w:val="zh-CN"/>
        </w:rPr>
      </w:pPr>
      <w:r>
        <w:rPr>
          <w:rFonts w:eastAsia="楷体_GB2312"/>
          <w:b/>
          <w:bCs/>
          <w:kern w:val="0"/>
          <w:sz w:val="32"/>
          <w:szCs w:val="32"/>
          <w:shd w:val="clear" w:color="auto" w:fill="FFFFFF"/>
          <w:lang w:val="zh-CN"/>
        </w:rPr>
        <w:t>（二）部门整体履职绩效分析</w:t>
      </w:r>
    </w:p>
    <w:p>
      <w:pPr>
        <w:widowControl/>
        <w:adjustRightInd w:val="0"/>
        <w:snapToGrid w:val="0"/>
        <w:spacing w:line="560" w:lineRule="exact"/>
        <w:ind w:firstLine="624" w:firstLineChars="200"/>
        <w:contextualSpacing/>
        <w:rPr>
          <w:rFonts w:eastAsia="仿宋_GB2312"/>
          <w:kern w:val="0"/>
          <w:sz w:val="32"/>
          <w:szCs w:val="32"/>
          <w:shd w:val="clear" w:color="auto" w:fill="FFFFFF"/>
          <w:lang w:val="zh-CN"/>
        </w:rPr>
      </w:pPr>
      <w:r>
        <w:rPr>
          <w:rFonts w:eastAsia="方正仿宋_GBK"/>
          <w:spacing w:val="-4"/>
          <w:sz w:val="32"/>
          <w:szCs w:val="32"/>
        </w:rPr>
        <w:t xml:space="preserve"> 2022年，市档案馆按照单位职责范围，结合全年目标任务，坚持以习近平新时代中国特色社会主义思想为指引，认真做好党建工作；</w:t>
      </w:r>
      <w:r>
        <w:rPr>
          <w:rFonts w:eastAsia="方正仿宋_GBK"/>
          <w:kern w:val="0"/>
          <w:sz w:val="33"/>
          <w:szCs w:val="33"/>
          <w:lang w:bidi="ar"/>
        </w:rPr>
        <w:t>继续做好重大活动、重点工作档案业务监督指导工作，加大建设项目档案业务的监督指导，配合做好我市高质量发展建设共同富裕试验区、三线精神研究、历史文化名城创建、“攀枝花芒果”地理标志产品保护申报等全市重点工作，提供好档案服务；全面推行建立“三合一”制度工作；扎实开展2023年度计划移交单位的档案接收进馆工作；加强馆藏档案数字化项目实施管理；</w:t>
      </w:r>
      <w:r>
        <w:rPr>
          <w:rFonts w:eastAsia="方正仿宋_GBK"/>
          <w:spacing w:val="-4"/>
          <w:kern w:val="0"/>
          <w:sz w:val="33"/>
          <w:szCs w:val="33"/>
          <w:shd w:val="clear" w:color="auto" w:fill="FFFFFF"/>
          <w:lang w:val="zh-CN"/>
        </w:rPr>
        <w:t>全面保障人员、公用、项目经费运用，资金分配合理，项目规划符合政府重大决策部署，全面实行绩效监督，按时全面完成既定目标，执行预期较好。</w:t>
      </w:r>
    </w:p>
    <w:p>
      <w:pPr>
        <w:widowControl/>
        <w:adjustRightInd w:val="0"/>
        <w:snapToGrid w:val="0"/>
        <w:spacing w:line="576" w:lineRule="exact"/>
        <w:ind w:firstLine="642" w:firstLineChars="200"/>
        <w:contextualSpacing/>
        <w:jc w:val="left"/>
        <w:rPr>
          <w:rFonts w:eastAsia="楷体_GB2312"/>
          <w:b/>
          <w:bCs/>
          <w:kern w:val="0"/>
          <w:sz w:val="32"/>
          <w:szCs w:val="32"/>
          <w:shd w:val="clear" w:color="auto" w:fill="FFFFFF"/>
          <w:lang w:val="zh-CN"/>
        </w:rPr>
      </w:pPr>
      <w:r>
        <w:rPr>
          <w:rFonts w:eastAsia="楷体_GB2312"/>
          <w:b/>
          <w:bCs/>
          <w:kern w:val="0"/>
          <w:sz w:val="32"/>
          <w:szCs w:val="32"/>
          <w:shd w:val="clear" w:color="auto" w:fill="FFFFFF"/>
          <w:lang w:val="zh-CN"/>
        </w:rPr>
        <w:t>（三）结果应用情况</w:t>
      </w:r>
    </w:p>
    <w:p>
      <w:pPr>
        <w:pStyle w:val="8"/>
        <w:spacing w:line="576" w:lineRule="exact"/>
        <w:ind w:firstLine="660" w:firstLineChars="200"/>
        <w:jc w:val="left"/>
        <w:rPr>
          <w:rFonts w:ascii="Times New Roman" w:hAnsi="Times New Roman" w:eastAsia="方正仿宋_GBK"/>
          <w:sz w:val="33"/>
          <w:szCs w:val="33"/>
        </w:rPr>
      </w:pPr>
      <w:r>
        <w:rPr>
          <w:rFonts w:ascii="Times New Roman" w:hAnsi="Times New Roman" w:eastAsia="方正仿宋_GBK"/>
          <w:sz w:val="33"/>
          <w:szCs w:val="33"/>
        </w:rPr>
        <w:t>绩效自评结果按照职责分工纳入对部门和责任人的年度目标绩效考核体系，考核结果与晋级晋职、岗位调整、评优评先挂钩。绩效自评报告和自评表在市档案馆网站公开，积极征求档案系统和服务领域各方意见，接受相关部门、社会各界和群众监督，及时改进绩效管理工作。</w:t>
      </w:r>
    </w:p>
    <w:p>
      <w:pPr>
        <w:widowControl/>
        <w:numPr>
          <w:ilvl w:val="0"/>
          <w:numId w:val="5"/>
        </w:numPr>
        <w:adjustRightInd w:val="0"/>
        <w:snapToGrid w:val="0"/>
        <w:spacing w:line="576" w:lineRule="exact"/>
        <w:ind w:firstLine="642" w:firstLineChars="200"/>
        <w:contextualSpacing/>
        <w:jc w:val="left"/>
        <w:rPr>
          <w:rFonts w:eastAsia="楷体_GB2312"/>
          <w:b/>
          <w:bCs/>
          <w:kern w:val="0"/>
          <w:sz w:val="32"/>
          <w:szCs w:val="32"/>
          <w:shd w:val="clear" w:color="auto" w:fill="FFFFFF"/>
          <w:lang w:val="zh-CN"/>
        </w:rPr>
      </w:pPr>
      <w:r>
        <w:rPr>
          <w:rFonts w:eastAsia="楷体_GB2312"/>
          <w:b/>
          <w:bCs/>
          <w:kern w:val="0"/>
          <w:sz w:val="32"/>
          <w:szCs w:val="32"/>
          <w:shd w:val="clear" w:color="auto" w:fill="FFFFFF"/>
          <w:lang w:val="zh-CN"/>
        </w:rPr>
        <w:t>自评质量</w:t>
      </w:r>
    </w:p>
    <w:p>
      <w:pPr>
        <w:pStyle w:val="8"/>
        <w:spacing w:line="576" w:lineRule="exact"/>
        <w:ind w:firstLine="660" w:firstLineChars="200"/>
        <w:jc w:val="left"/>
        <w:rPr>
          <w:rFonts w:ascii="Times New Roman" w:hAnsi="Times New Roman" w:eastAsia="方正仿宋_GBK"/>
          <w:sz w:val="33"/>
          <w:szCs w:val="33"/>
        </w:rPr>
      </w:pPr>
      <w:r>
        <w:rPr>
          <w:rFonts w:ascii="Times New Roman" w:hAnsi="Times New Roman" w:eastAsia="方正仿宋_GBK"/>
          <w:sz w:val="33"/>
          <w:szCs w:val="33"/>
        </w:rPr>
        <w:t>我单位本次自评得分为91.9分。通过资料收集、绩效评价、工作总结及撰写报告等几个阶段，认真、准确填写自评数据表，形成详实的自评报告，并在2022年4月21日之前按时完成自评工作，并对所报送自评材料的真实性、完整性、一致性、规范性负责。总的来说，市档案馆2022年度部门整体支出自评准确完整，财政资金绩效评价良好。</w:t>
      </w:r>
    </w:p>
    <w:p>
      <w:pPr>
        <w:widowControl/>
        <w:adjustRightInd w:val="0"/>
        <w:snapToGrid w:val="0"/>
        <w:spacing w:line="576" w:lineRule="exact"/>
        <w:ind w:firstLine="640" w:firstLineChars="200"/>
        <w:contextualSpacing/>
        <w:jc w:val="left"/>
        <w:rPr>
          <w:rFonts w:eastAsia="黑体"/>
          <w:kern w:val="0"/>
          <w:sz w:val="32"/>
          <w:szCs w:val="32"/>
          <w:shd w:val="clear" w:color="auto" w:fill="FFFFFF"/>
        </w:rPr>
      </w:pPr>
      <w:bookmarkStart w:id="114" w:name="_Toc65613599_WPSOffice_Level2"/>
      <w:r>
        <w:rPr>
          <w:rFonts w:eastAsia="黑体"/>
          <w:kern w:val="0"/>
          <w:sz w:val="32"/>
          <w:szCs w:val="32"/>
          <w:shd w:val="clear" w:color="auto" w:fill="FFFFFF"/>
        </w:rPr>
        <w:t>四、评价结论及建议</w:t>
      </w:r>
      <w:bookmarkEnd w:id="114"/>
    </w:p>
    <w:p>
      <w:pPr>
        <w:widowControl/>
        <w:adjustRightInd w:val="0"/>
        <w:snapToGrid w:val="0"/>
        <w:spacing w:line="576" w:lineRule="exact"/>
        <w:ind w:firstLine="642" w:firstLineChars="200"/>
        <w:contextualSpacing/>
        <w:jc w:val="left"/>
        <w:rPr>
          <w:rFonts w:eastAsia="方正楷体_GBK"/>
          <w:b/>
          <w:bCs/>
          <w:kern w:val="0"/>
          <w:sz w:val="32"/>
          <w:szCs w:val="32"/>
          <w:shd w:val="clear" w:color="auto" w:fill="FFFFFF"/>
        </w:rPr>
      </w:pPr>
      <w:r>
        <w:rPr>
          <w:rFonts w:eastAsia="方正楷体_GBK"/>
          <w:b/>
          <w:bCs/>
          <w:kern w:val="0"/>
          <w:sz w:val="32"/>
          <w:szCs w:val="32"/>
          <w:shd w:val="clear" w:color="auto" w:fill="FFFFFF"/>
        </w:rPr>
        <w:t>（一）评价结论</w:t>
      </w:r>
    </w:p>
    <w:p>
      <w:pPr>
        <w:widowControl/>
        <w:adjustRightInd w:val="0"/>
        <w:snapToGrid w:val="0"/>
        <w:spacing w:line="576" w:lineRule="exact"/>
        <w:ind w:firstLine="660" w:firstLineChars="200"/>
        <w:contextualSpacing/>
        <w:jc w:val="left"/>
        <w:rPr>
          <w:rFonts w:eastAsia="方正仿宋_GBK"/>
          <w:sz w:val="33"/>
          <w:szCs w:val="33"/>
        </w:rPr>
      </w:pPr>
      <w:r>
        <w:rPr>
          <w:rFonts w:eastAsia="方正仿宋_GBK"/>
          <w:sz w:val="33"/>
          <w:szCs w:val="33"/>
        </w:rPr>
        <w:t>2022年，我馆实现支出831.09万元，保障了我馆的日常运转及相关项目开展。通过绩效评价与分析，增强了全馆资金绩效观念，加强了财政支出管理，使得公共资源得以合理配置，财政支出结构得以优化，提高了资金管理水平和使用效益。保障当前档案馆日常工作开展及推动档案业务建设发展，进一步加强档案法制建设、基础设施建设、档案信息化建设、档案馆功能建设和档案干部队伍建设。</w:t>
      </w:r>
    </w:p>
    <w:p>
      <w:pPr>
        <w:widowControl/>
        <w:adjustRightInd w:val="0"/>
        <w:snapToGrid w:val="0"/>
        <w:spacing w:line="576" w:lineRule="exact"/>
        <w:ind w:firstLine="642" w:firstLineChars="200"/>
        <w:contextualSpacing/>
        <w:jc w:val="left"/>
        <w:rPr>
          <w:rFonts w:eastAsia="方正楷体_GBK"/>
          <w:b/>
          <w:bCs/>
          <w:kern w:val="0"/>
          <w:sz w:val="32"/>
          <w:szCs w:val="32"/>
          <w:shd w:val="clear" w:color="auto" w:fill="FFFFFF"/>
        </w:rPr>
      </w:pPr>
      <w:r>
        <w:rPr>
          <w:rFonts w:eastAsia="方正楷体_GBK"/>
          <w:b/>
          <w:bCs/>
          <w:kern w:val="0"/>
          <w:sz w:val="32"/>
          <w:szCs w:val="32"/>
          <w:shd w:val="clear" w:color="auto" w:fill="FFFFFF"/>
        </w:rPr>
        <w:t>（二）存在问题</w:t>
      </w:r>
    </w:p>
    <w:p>
      <w:pPr>
        <w:widowControl/>
        <w:adjustRightInd w:val="0"/>
        <w:snapToGrid w:val="0"/>
        <w:spacing w:line="576" w:lineRule="exact"/>
        <w:ind w:firstLine="660" w:firstLineChars="200"/>
        <w:contextualSpacing/>
        <w:jc w:val="left"/>
        <w:rPr>
          <w:rFonts w:eastAsia="方正仿宋_GBK"/>
          <w:sz w:val="33"/>
          <w:szCs w:val="33"/>
        </w:rPr>
      </w:pPr>
      <w:r>
        <w:rPr>
          <w:rFonts w:eastAsia="方正仿宋_GBK"/>
          <w:sz w:val="33"/>
          <w:szCs w:val="33"/>
        </w:rPr>
        <w:t>2022年我馆严格按照预算资金绩效管理办法，及时开展项目落实工作，为全年工作的开展提供了保障，但还存在预算编制不够科学、绩效制度不够健全、绩效管理质量不够高等问题，针对我馆实际主要存在以下几个问题：</w:t>
      </w:r>
      <w:r>
        <w:rPr>
          <w:rFonts w:eastAsia="方正仿宋_GBK"/>
          <w:b/>
          <w:bCs/>
          <w:sz w:val="33"/>
          <w:szCs w:val="33"/>
        </w:rPr>
        <w:t>一是</w:t>
      </w:r>
      <w:r>
        <w:rPr>
          <w:rFonts w:eastAsia="方正仿宋_GBK"/>
          <w:sz w:val="33"/>
          <w:szCs w:val="33"/>
        </w:rPr>
        <w:t>预算绩效考核的认识不够清，仍旧认为预算绩效考核是财务部门的事情，重视程度不够。</w:t>
      </w:r>
      <w:r>
        <w:rPr>
          <w:rFonts w:eastAsia="方正仿宋_GBK"/>
          <w:b/>
          <w:bCs/>
          <w:sz w:val="33"/>
          <w:szCs w:val="33"/>
        </w:rPr>
        <w:t>二是</w:t>
      </w:r>
      <w:r>
        <w:rPr>
          <w:rFonts w:eastAsia="方正仿宋_GBK"/>
          <w:sz w:val="33"/>
          <w:szCs w:val="33"/>
        </w:rPr>
        <w:t>绩效考核的宣传力度不够，收到财政厅下发的绩效考核方面的文件，直接签批给财务办理，导致项目具体实施处室不了解文件内容，起不到向项目实施科室宣传及沟通的作用。三是绩效考核结果的运用不够。绩效考核结果在促进预算执行进度方面的效果不够明显。</w:t>
      </w:r>
    </w:p>
    <w:p>
      <w:pPr>
        <w:widowControl/>
        <w:adjustRightInd w:val="0"/>
        <w:snapToGrid w:val="0"/>
        <w:spacing w:line="576" w:lineRule="exact"/>
        <w:ind w:firstLine="642" w:firstLineChars="200"/>
        <w:contextualSpacing/>
        <w:jc w:val="left"/>
        <w:rPr>
          <w:rFonts w:eastAsia="方正楷体_GBK"/>
          <w:b/>
          <w:bCs/>
          <w:kern w:val="0"/>
          <w:sz w:val="32"/>
          <w:szCs w:val="32"/>
          <w:shd w:val="clear" w:color="auto" w:fill="FFFFFF"/>
        </w:rPr>
      </w:pPr>
      <w:r>
        <w:rPr>
          <w:rFonts w:eastAsia="方正楷体_GBK"/>
          <w:b/>
          <w:bCs/>
          <w:kern w:val="0"/>
          <w:sz w:val="32"/>
          <w:szCs w:val="32"/>
          <w:shd w:val="clear" w:color="auto" w:fill="FFFFFF"/>
        </w:rPr>
        <w:t>（三）改进建议</w:t>
      </w:r>
    </w:p>
    <w:p>
      <w:pPr>
        <w:widowControl/>
        <w:adjustRightInd w:val="0"/>
        <w:snapToGrid w:val="0"/>
        <w:spacing w:line="576" w:lineRule="exact"/>
        <w:ind w:firstLine="660" w:firstLineChars="200"/>
        <w:contextualSpacing/>
        <w:jc w:val="left"/>
        <w:rPr>
          <w:rFonts w:eastAsia="方正仿宋_GBK"/>
          <w:kern w:val="0"/>
          <w:sz w:val="30"/>
          <w:szCs w:val="30"/>
        </w:rPr>
      </w:pPr>
      <w:r>
        <w:rPr>
          <w:rFonts w:eastAsia="方正仿宋_GBK"/>
          <w:sz w:val="33"/>
          <w:szCs w:val="33"/>
        </w:rPr>
        <w:t>我馆将严格按照预算资金绩效管理办法，及时开展项目落实工作，为全年工作的开展提供保障。对存在的问题将在今后的工作中加以改进：</w:t>
      </w:r>
      <w:r>
        <w:rPr>
          <w:rFonts w:eastAsia="方正仿宋_GBK"/>
          <w:b/>
          <w:bCs/>
          <w:sz w:val="33"/>
          <w:szCs w:val="33"/>
        </w:rPr>
        <w:t>一是</w:t>
      </w:r>
      <w:r>
        <w:rPr>
          <w:rFonts w:eastAsia="方正仿宋_GBK"/>
          <w:sz w:val="33"/>
          <w:szCs w:val="33"/>
        </w:rPr>
        <w:t>加强绩效管理制度建设。加强预算编制的前瞻性，按照《预算法》的相关规定，结合本部门的工作计划以及上一年度预算执行情况等因素，科学、合理地编制本年度预算。</w:t>
      </w:r>
      <w:r>
        <w:rPr>
          <w:rFonts w:eastAsia="方正仿宋_GBK"/>
          <w:b/>
          <w:bCs/>
          <w:sz w:val="33"/>
          <w:szCs w:val="33"/>
        </w:rPr>
        <w:t>二是</w:t>
      </w:r>
      <w:r>
        <w:rPr>
          <w:rFonts w:eastAsia="方正仿宋_GBK"/>
          <w:sz w:val="33"/>
          <w:szCs w:val="33"/>
        </w:rPr>
        <w:t>强化绩效目标管理。把绩效目标作为项目实施的前置条件，提高预算资金使用的合理性和科学性。</w:t>
      </w:r>
      <w:r>
        <w:rPr>
          <w:rFonts w:eastAsia="方正仿宋_GBK"/>
          <w:b/>
          <w:bCs/>
          <w:sz w:val="33"/>
          <w:szCs w:val="33"/>
        </w:rPr>
        <w:t>三是</w:t>
      </w:r>
      <w:r>
        <w:rPr>
          <w:rFonts w:eastAsia="方正仿宋_GBK"/>
          <w:sz w:val="33"/>
          <w:szCs w:val="33"/>
        </w:rPr>
        <w:t>加强项目的事前、事中、事后的监督管理，将资金同项目绩效挂钩，提升资金的使用效能。</w:t>
      </w:r>
    </w:p>
    <w:p>
      <w:pPr>
        <w:pStyle w:val="14"/>
        <w:spacing w:line="576" w:lineRule="exact"/>
        <w:ind w:left="0" w:leftChars="0" w:firstLine="640"/>
        <w:rPr>
          <w:rFonts w:ascii="Times New Roman" w:eastAsia="仿宋_GB2312"/>
          <w:sz w:val="32"/>
          <w:lang w:val="zh-CN"/>
        </w:rPr>
      </w:pPr>
    </w:p>
    <w:p>
      <w:pPr>
        <w:pStyle w:val="14"/>
        <w:spacing w:line="576" w:lineRule="exact"/>
        <w:ind w:left="0" w:leftChars="0" w:firstLine="640"/>
        <w:rPr>
          <w:rFonts w:ascii="Times New Roman" w:eastAsia="仿宋_GB2312"/>
          <w:sz w:val="32"/>
        </w:rPr>
      </w:pPr>
      <w:r>
        <w:rPr>
          <w:rFonts w:ascii="Times New Roman" w:eastAsia="仿宋_GB2312"/>
          <w:sz w:val="32"/>
          <w:lang w:val="zh-CN"/>
        </w:rPr>
        <w:t>附表：攀枝花市档案馆</w:t>
      </w:r>
      <w:r>
        <w:rPr>
          <w:rFonts w:ascii="Times New Roman" w:eastAsia="仿宋_GB2312"/>
          <w:sz w:val="32"/>
        </w:rPr>
        <w:t xml:space="preserve">部门预算项目支出绩效自评表 </w:t>
      </w:r>
    </w:p>
    <w:p>
      <w:pPr>
        <w:pStyle w:val="14"/>
        <w:spacing w:line="576" w:lineRule="exact"/>
        <w:ind w:left="0" w:leftChars="0" w:firstLine="640"/>
        <w:rPr>
          <w:rFonts w:ascii="Times New Roman" w:eastAsia="仿宋_GB2312"/>
          <w:sz w:val="32"/>
        </w:rPr>
      </w:pPr>
      <w:r>
        <w:rPr>
          <w:rFonts w:ascii="Times New Roman" w:eastAsia="仿宋_GB2312"/>
          <w:sz w:val="32"/>
        </w:rPr>
        <w:t xml:space="preserve">     （2022年度）见附件3</w:t>
      </w:r>
    </w:p>
    <w:p>
      <w:pPr>
        <w:pStyle w:val="2"/>
        <w:spacing w:before="93" w:line="576" w:lineRule="exact"/>
        <w:rPr>
          <w:rFonts w:ascii="Times New Roman"/>
          <w:sz w:val="32"/>
          <w:szCs w:val="32"/>
          <w:shd w:val="clear" w:color="auto" w:fill="FFFFFF"/>
          <w:lang w:val="zh-CN"/>
        </w:rPr>
      </w:pPr>
    </w:p>
    <w:p>
      <w:pPr>
        <w:pStyle w:val="2"/>
        <w:spacing w:before="93" w:line="576" w:lineRule="exact"/>
        <w:rPr>
          <w:rFonts w:ascii="Times New Roman"/>
          <w:sz w:val="32"/>
          <w:szCs w:val="32"/>
          <w:shd w:val="clear" w:color="auto" w:fill="FFFFFF"/>
          <w:lang w:val="zh-CN"/>
        </w:rPr>
      </w:pPr>
    </w:p>
    <w:p>
      <w:pPr>
        <w:pStyle w:val="2"/>
        <w:spacing w:before="93" w:line="576" w:lineRule="exact"/>
        <w:rPr>
          <w:rFonts w:ascii="Times New Roman"/>
          <w:sz w:val="32"/>
          <w:szCs w:val="32"/>
          <w:shd w:val="clear" w:color="auto" w:fill="FFFFFF"/>
          <w:lang w:val="zh-CN"/>
        </w:rPr>
      </w:pPr>
    </w:p>
    <w:p>
      <w:pPr>
        <w:pStyle w:val="2"/>
        <w:spacing w:before="93" w:line="576" w:lineRule="exact"/>
        <w:rPr>
          <w:rFonts w:ascii="Times New Roman"/>
          <w:sz w:val="32"/>
          <w:szCs w:val="32"/>
          <w:shd w:val="clear" w:color="auto" w:fill="FFFFFF"/>
          <w:lang w:val="zh-CN"/>
        </w:rPr>
      </w:pPr>
    </w:p>
    <w:p>
      <w:pPr>
        <w:pStyle w:val="2"/>
        <w:spacing w:before="93" w:line="576" w:lineRule="exact"/>
        <w:rPr>
          <w:rFonts w:ascii="Times New Roman"/>
          <w:sz w:val="32"/>
          <w:szCs w:val="32"/>
          <w:shd w:val="clear" w:color="auto" w:fill="FFFFFF"/>
          <w:lang w:val="zh-CN"/>
        </w:rPr>
      </w:pPr>
    </w:p>
    <w:p>
      <w:pPr>
        <w:pStyle w:val="2"/>
        <w:spacing w:before="93" w:line="576" w:lineRule="exact"/>
        <w:rPr>
          <w:rFonts w:ascii="Times New Roman"/>
          <w:sz w:val="32"/>
          <w:szCs w:val="32"/>
          <w:shd w:val="clear" w:color="auto" w:fill="FFFFFF"/>
          <w:lang w:val="zh-CN"/>
        </w:rPr>
      </w:pPr>
    </w:p>
    <w:p>
      <w:pPr>
        <w:pStyle w:val="2"/>
        <w:spacing w:before="93" w:line="576" w:lineRule="exact"/>
        <w:rPr>
          <w:rFonts w:ascii="Times New Roman"/>
          <w:sz w:val="32"/>
          <w:szCs w:val="32"/>
          <w:shd w:val="clear" w:color="auto" w:fill="FFFFFF"/>
          <w:lang w:val="zh-CN"/>
        </w:rPr>
      </w:pPr>
    </w:p>
    <w:p>
      <w:pPr>
        <w:pStyle w:val="2"/>
        <w:spacing w:before="93" w:line="576" w:lineRule="exact"/>
        <w:rPr>
          <w:rFonts w:ascii="Times New Roman"/>
          <w:sz w:val="32"/>
          <w:szCs w:val="32"/>
          <w:shd w:val="clear" w:color="auto" w:fill="FFFFFF"/>
          <w:lang w:val="zh-CN"/>
        </w:rPr>
      </w:pPr>
    </w:p>
    <w:p>
      <w:pPr>
        <w:pStyle w:val="2"/>
        <w:spacing w:before="93" w:line="576" w:lineRule="exact"/>
        <w:rPr>
          <w:rFonts w:ascii="Times New Roman"/>
          <w:sz w:val="32"/>
          <w:szCs w:val="32"/>
          <w:shd w:val="clear" w:color="auto" w:fill="FFFFFF"/>
          <w:lang w:val="zh-CN"/>
        </w:rPr>
      </w:pPr>
    </w:p>
    <w:p>
      <w:pPr>
        <w:pStyle w:val="2"/>
        <w:spacing w:before="93" w:line="576" w:lineRule="exact"/>
        <w:rPr>
          <w:rFonts w:ascii="Times New Roman"/>
          <w:sz w:val="32"/>
          <w:szCs w:val="32"/>
          <w:shd w:val="clear" w:color="auto" w:fill="FFFFFF"/>
          <w:lang w:val="zh-CN"/>
        </w:rPr>
      </w:pPr>
    </w:p>
    <w:p>
      <w:pPr>
        <w:pStyle w:val="2"/>
        <w:spacing w:before="93" w:line="576" w:lineRule="exact"/>
        <w:rPr>
          <w:rFonts w:ascii="Times New Roman"/>
          <w:sz w:val="32"/>
          <w:szCs w:val="32"/>
          <w:shd w:val="clear" w:color="auto" w:fill="FFFFFF"/>
          <w:lang w:val="zh-CN"/>
        </w:rPr>
      </w:pPr>
    </w:p>
    <w:p>
      <w:pPr>
        <w:pStyle w:val="2"/>
        <w:spacing w:before="93" w:line="576" w:lineRule="exact"/>
        <w:rPr>
          <w:rFonts w:ascii="Times New Roman"/>
          <w:sz w:val="32"/>
          <w:szCs w:val="32"/>
          <w:shd w:val="clear" w:color="auto" w:fill="FFFFFF"/>
          <w:lang w:val="zh-CN"/>
        </w:rPr>
      </w:pPr>
    </w:p>
    <w:p>
      <w:pPr>
        <w:pStyle w:val="2"/>
        <w:spacing w:before="93" w:line="576" w:lineRule="exact"/>
        <w:rPr>
          <w:rFonts w:ascii="Times New Roman"/>
          <w:sz w:val="32"/>
          <w:szCs w:val="32"/>
          <w:shd w:val="clear" w:color="auto" w:fill="FFFFFF"/>
          <w:lang w:val="zh-CN"/>
        </w:rPr>
      </w:pPr>
    </w:p>
    <w:p>
      <w:pPr>
        <w:pStyle w:val="2"/>
        <w:spacing w:before="93" w:line="576" w:lineRule="exact"/>
        <w:rPr>
          <w:rFonts w:ascii="Times New Roman"/>
          <w:sz w:val="32"/>
          <w:szCs w:val="32"/>
          <w:shd w:val="clear" w:color="auto" w:fill="FFFFFF"/>
          <w:lang w:val="zh-CN"/>
        </w:rPr>
      </w:pPr>
    </w:p>
    <w:p>
      <w:pPr>
        <w:pStyle w:val="2"/>
        <w:spacing w:before="93" w:line="576" w:lineRule="exact"/>
        <w:rPr>
          <w:rFonts w:ascii="Times New Roman"/>
          <w:sz w:val="32"/>
          <w:szCs w:val="32"/>
          <w:shd w:val="clear" w:color="auto" w:fill="FFFFFF"/>
          <w:lang w:val="zh-CN"/>
        </w:rPr>
      </w:pPr>
    </w:p>
    <w:p>
      <w:pPr>
        <w:pStyle w:val="2"/>
        <w:spacing w:before="93" w:line="576" w:lineRule="exact"/>
        <w:rPr>
          <w:rFonts w:ascii="Times New Roman"/>
          <w:sz w:val="32"/>
          <w:szCs w:val="32"/>
          <w:shd w:val="clear" w:color="auto" w:fill="FFFFFF"/>
          <w:lang w:val="zh-CN"/>
        </w:rPr>
      </w:pPr>
    </w:p>
    <w:p>
      <w:pPr>
        <w:pStyle w:val="2"/>
        <w:spacing w:before="93" w:line="576" w:lineRule="exact"/>
        <w:rPr>
          <w:rFonts w:ascii="Times New Roman"/>
          <w:sz w:val="32"/>
          <w:szCs w:val="32"/>
          <w:shd w:val="clear" w:color="auto" w:fill="FFFFFF"/>
          <w:lang w:val="zh-CN"/>
        </w:rPr>
      </w:pPr>
    </w:p>
    <w:p>
      <w:pPr>
        <w:pStyle w:val="35"/>
        <w:spacing w:line="576" w:lineRule="exact"/>
        <w:jc w:val="center"/>
        <w:rPr>
          <w:rFonts w:ascii="Times New Roman" w:hAnsi="Times New Roman" w:eastAsia="方正小标宋简体"/>
          <w:color w:val="auto"/>
          <w:kern w:val="2"/>
          <w:sz w:val="32"/>
          <w:szCs w:val="32"/>
          <w:lang w:val="en-US"/>
        </w:rPr>
      </w:pPr>
      <w:bookmarkStart w:id="115" w:name="_Toc291077837_WPSOffice_Level2"/>
      <w:r>
        <w:rPr>
          <w:rFonts w:ascii="Times New Roman" w:hAnsi="Times New Roman" w:eastAsia="方正小标宋简体"/>
          <w:color w:val="auto"/>
          <w:kern w:val="2"/>
          <w:sz w:val="32"/>
          <w:szCs w:val="32"/>
          <w:lang w:val="en-US"/>
        </w:rPr>
        <w:t>攀枝花市档案馆</w:t>
      </w:r>
      <w:bookmarkEnd w:id="115"/>
    </w:p>
    <w:p>
      <w:pPr>
        <w:pStyle w:val="35"/>
        <w:spacing w:line="576" w:lineRule="exact"/>
        <w:jc w:val="center"/>
        <w:rPr>
          <w:rFonts w:ascii="Times New Roman" w:hAnsi="Times New Roman" w:eastAsia="方正小标宋简体"/>
          <w:color w:val="auto"/>
          <w:kern w:val="2"/>
          <w:sz w:val="32"/>
          <w:szCs w:val="32"/>
          <w:lang w:val="en-US"/>
        </w:rPr>
      </w:pPr>
      <w:bookmarkStart w:id="116" w:name="_Toc421487877_WPSOffice_Level2"/>
      <w:r>
        <w:rPr>
          <w:rFonts w:ascii="Times New Roman" w:hAnsi="Times New Roman" w:eastAsia="方正小标宋简体"/>
          <w:color w:val="auto"/>
          <w:kern w:val="2"/>
          <w:sz w:val="32"/>
          <w:szCs w:val="32"/>
          <w:lang w:val="en-US"/>
        </w:rPr>
        <w:t>2023年市级专项资金预算项目绩效自评报告</w:t>
      </w:r>
      <w:bookmarkEnd w:id="116"/>
    </w:p>
    <w:p>
      <w:pPr>
        <w:pStyle w:val="35"/>
        <w:spacing w:line="576" w:lineRule="exact"/>
        <w:jc w:val="center"/>
        <w:rPr>
          <w:rFonts w:ascii="Times New Roman" w:hAnsi="Times New Roman" w:eastAsia="方正小标宋简体"/>
          <w:color w:val="auto"/>
          <w:kern w:val="2"/>
          <w:sz w:val="32"/>
          <w:szCs w:val="32"/>
          <w:lang w:val="en-US"/>
        </w:rPr>
      </w:pPr>
      <w:bookmarkStart w:id="117" w:name="_Toc609127067_WPSOffice_Level2"/>
      <w:r>
        <w:rPr>
          <w:rFonts w:ascii="Times New Roman" w:hAnsi="Times New Roman" w:eastAsia="方正小标宋简体"/>
          <w:color w:val="auto"/>
          <w:kern w:val="2"/>
          <w:sz w:val="32"/>
          <w:szCs w:val="32"/>
          <w:lang w:val="en-US"/>
        </w:rPr>
        <w:t>（市档案馆搬迁项目）</w:t>
      </w:r>
      <w:bookmarkEnd w:id="117"/>
    </w:p>
    <w:p>
      <w:pPr>
        <w:pStyle w:val="35"/>
        <w:spacing w:line="576" w:lineRule="exact"/>
        <w:rPr>
          <w:rFonts w:ascii="Times New Roman" w:hAnsi="Times New Roman"/>
          <w:color w:val="auto"/>
          <w:kern w:val="2"/>
          <w:sz w:val="32"/>
          <w:szCs w:val="32"/>
        </w:rPr>
      </w:pPr>
    </w:p>
    <w:p>
      <w:pPr>
        <w:adjustRightInd w:val="0"/>
        <w:snapToGrid w:val="0"/>
        <w:spacing w:line="576" w:lineRule="exact"/>
        <w:rPr>
          <w:rFonts w:eastAsia="黑体"/>
          <w:sz w:val="32"/>
          <w:szCs w:val="32"/>
          <w:lang w:val="zh-CN"/>
        </w:rPr>
      </w:pPr>
      <w:bookmarkStart w:id="118" w:name="_Toc1428461705_WPSOffice_Level2"/>
      <w:r>
        <w:rPr>
          <w:rFonts w:eastAsia="黑体"/>
          <w:sz w:val="32"/>
          <w:szCs w:val="32"/>
        </w:rPr>
        <w:t xml:space="preserve">    一、</w:t>
      </w:r>
      <w:r>
        <w:rPr>
          <w:rFonts w:eastAsia="黑体"/>
          <w:sz w:val="32"/>
          <w:szCs w:val="32"/>
          <w:lang w:val="zh-CN"/>
        </w:rPr>
        <w:t>项目概况</w:t>
      </w:r>
      <w:bookmarkEnd w:id="118"/>
    </w:p>
    <w:p>
      <w:pPr>
        <w:adjustRightInd w:val="0"/>
        <w:snapToGrid w:val="0"/>
        <w:spacing w:line="576" w:lineRule="exact"/>
        <w:rPr>
          <w:rFonts w:eastAsia="楷体_GB2312"/>
          <w:b/>
          <w:sz w:val="32"/>
          <w:szCs w:val="32"/>
          <w:lang w:val="zh-CN"/>
        </w:rPr>
      </w:pPr>
      <w:r>
        <w:rPr>
          <w:rFonts w:eastAsia="楷体_GB2312"/>
          <w:b/>
          <w:sz w:val="32"/>
          <w:szCs w:val="32"/>
        </w:rPr>
        <w:t xml:space="preserve">    </w:t>
      </w:r>
      <w:r>
        <w:rPr>
          <w:rFonts w:eastAsia="楷体_GB2312"/>
          <w:b/>
          <w:sz w:val="32"/>
          <w:szCs w:val="32"/>
          <w:lang w:val="zh-CN"/>
        </w:rPr>
        <w:t>（一）项目基本情况</w:t>
      </w:r>
    </w:p>
    <w:p>
      <w:pPr>
        <w:autoSpaceDE w:val="0"/>
        <w:autoSpaceDN w:val="0"/>
        <w:adjustRightInd w:val="0"/>
        <w:spacing w:line="576" w:lineRule="exact"/>
        <w:rPr>
          <w:rFonts w:eastAsia="仿宋_GB2312"/>
          <w:kern w:val="0"/>
          <w:sz w:val="32"/>
          <w:szCs w:val="32"/>
          <w:shd w:val="clear" w:color="auto" w:fill="FFFFFF"/>
          <w:lang w:val="zh-CN"/>
        </w:rPr>
      </w:pPr>
      <w:r>
        <w:rPr>
          <w:rFonts w:eastAsia="仿宋_GB2312"/>
          <w:kern w:val="0"/>
          <w:sz w:val="32"/>
          <w:szCs w:val="32"/>
          <w:shd w:val="clear" w:color="auto" w:fill="FFFFFF"/>
        </w:rPr>
        <w:t xml:space="preserve">    </w:t>
      </w:r>
      <w:r>
        <w:rPr>
          <w:rFonts w:eastAsia="仿宋_GB2312"/>
          <w:kern w:val="0"/>
          <w:sz w:val="32"/>
          <w:szCs w:val="32"/>
          <w:shd w:val="clear" w:color="auto" w:fill="FFFFFF"/>
          <w:lang w:val="zh-CN"/>
        </w:rPr>
        <w:t>1</w:t>
      </w:r>
      <w:r>
        <w:rPr>
          <w:rFonts w:eastAsia="仿宋_GB2312"/>
          <w:kern w:val="0"/>
          <w:sz w:val="32"/>
          <w:szCs w:val="32"/>
          <w:shd w:val="clear" w:color="auto" w:fill="FFFFFF"/>
        </w:rPr>
        <w:t>.</w:t>
      </w:r>
      <w:r>
        <w:rPr>
          <w:rFonts w:eastAsia="仿宋_GB2312"/>
          <w:kern w:val="0"/>
          <w:sz w:val="32"/>
          <w:szCs w:val="32"/>
          <w:shd w:val="clear" w:color="auto" w:fill="FFFFFF"/>
          <w:lang w:val="zh-CN"/>
        </w:rPr>
        <w:t>说明项目主管部门（单位）在该项目管理中的职能。</w:t>
      </w:r>
      <w:r>
        <w:rPr>
          <w:rFonts w:eastAsia="方正仿宋_GBK"/>
          <w:sz w:val="33"/>
          <w:szCs w:val="33"/>
        </w:rPr>
        <w:t>攀枝花市档案馆对攀枝花市档案馆搬迁项目负全部管理职责。</w:t>
      </w:r>
    </w:p>
    <w:p>
      <w:pPr>
        <w:autoSpaceDE w:val="0"/>
        <w:autoSpaceDN w:val="0"/>
        <w:adjustRightInd w:val="0"/>
        <w:spacing w:line="576" w:lineRule="exact"/>
        <w:rPr>
          <w:rFonts w:eastAsia="方正仿宋_GBK"/>
          <w:sz w:val="33"/>
          <w:szCs w:val="33"/>
          <w:lang w:val="zh-CN"/>
        </w:rPr>
      </w:pPr>
      <w:r>
        <w:rPr>
          <w:rFonts w:eastAsia="仿宋_GB2312"/>
          <w:kern w:val="0"/>
          <w:sz w:val="32"/>
          <w:szCs w:val="32"/>
          <w:shd w:val="clear" w:color="auto" w:fill="FFFFFF"/>
        </w:rPr>
        <w:t xml:space="preserve">    </w:t>
      </w:r>
      <w:r>
        <w:rPr>
          <w:rFonts w:eastAsia="方正仿宋_GBK"/>
          <w:sz w:val="33"/>
          <w:szCs w:val="33"/>
          <w:lang w:val="zh-CN"/>
        </w:rPr>
        <w:t>2</w:t>
      </w:r>
      <w:r>
        <w:rPr>
          <w:rFonts w:eastAsia="方正仿宋_GBK"/>
          <w:sz w:val="33"/>
          <w:szCs w:val="33"/>
        </w:rPr>
        <w:t>.</w:t>
      </w:r>
      <w:r>
        <w:rPr>
          <w:rFonts w:eastAsia="方正仿宋_GBK"/>
          <w:sz w:val="33"/>
          <w:szCs w:val="33"/>
          <w:lang w:val="zh-CN"/>
        </w:rPr>
        <w:t>项目立项、资金申报的依据。</w:t>
      </w:r>
      <w:r>
        <w:rPr>
          <w:rFonts w:eastAsia="方正仿宋_GBK"/>
          <w:sz w:val="33"/>
          <w:szCs w:val="33"/>
        </w:rPr>
        <w:t>攀枝花市档案馆原址位于攀枝花市东区湖山巷2号，市档案馆新馆于2016年4月纳入新市政务服务中心（市民之家）建设项目，于2019年10月竣工交付使用。我馆按照市委市政府要求已经于2020年5月完成办公区域以及部分业务科室的搬迁工作，现按照市委市政府要求于2021年6月前完成档案馆整体搬迁工作。新馆机房搬迁及建设、档案移库搬迁、冻除虫库设备采购安装、库房有轨密集架采购安装、旧馆库房有轨密集架移库安装及新馆库房视频监控系统建设项目为此次搬迁项目的重要工程项目，政府已决策同意实施。</w:t>
      </w:r>
    </w:p>
    <w:p>
      <w:pPr>
        <w:autoSpaceDE w:val="0"/>
        <w:autoSpaceDN w:val="0"/>
        <w:adjustRightInd w:val="0"/>
        <w:spacing w:line="576" w:lineRule="exact"/>
        <w:rPr>
          <w:rFonts w:eastAsia="方正仿宋_GBK"/>
          <w:sz w:val="33"/>
          <w:szCs w:val="33"/>
        </w:rPr>
      </w:pPr>
      <w:r>
        <w:rPr>
          <w:rFonts w:eastAsia="方正仿宋_GBK"/>
          <w:sz w:val="33"/>
          <w:szCs w:val="33"/>
        </w:rPr>
        <w:t xml:space="preserve">    </w:t>
      </w:r>
      <w:r>
        <w:rPr>
          <w:rFonts w:eastAsia="方正仿宋_GBK"/>
          <w:sz w:val="33"/>
          <w:szCs w:val="33"/>
          <w:lang w:val="zh-CN"/>
        </w:rPr>
        <w:t>3</w:t>
      </w:r>
      <w:r>
        <w:rPr>
          <w:rFonts w:eastAsia="方正仿宋_GBK"/>
          <w:sz w:val="33"/>
          <w:szCs w:val="33"/>
        </w:rPr>
        <w:t>.</w:t>
      </w:r>
      <w:r>
        <w:rPr>
          <w:rFonts w:eastAsia="方正仿宋_GBK"/>
          <w:sz w:val="33"/>
          <w:szCs w:val="33"/>
          <w:lang w:val="zh-CN"/>
        </w:rPr>
        <w:t>资金</w:t>
      </w:r>
      <w:r>
        <w:rPr>
          <w:rFonts w:eastAsia="方正仿宋_GBK"/>
          <w:sz w:val="33"/>
          <w:szCs w:val="33"/>
        </w:rPr>
        <w:t>或项目</w:t>
      </w:r>
      <w:r>
        <w:rPr>
          <w:rFonts w:eastAsia="方正仿宋_GBK"/>
          <w:sz w:val="33"/>
          <w:szCs w:val="33"/>
          <w:lang w:val="zh-CN"/>
        </w:rPr>
        <w:t>管理办法制定情况，资金支持具体项目的条件、范围与支持方式概况。</w:t>
      </w:r>
      <w:r>
        <w:rPr>
          <w:rFonts w:eastAsia="方正仿宋_GBK"/>
          <w:sz w:val="33"/>
          <w:szCs w:val="33"/>
        </w:rPr>
        <w:t>档案馆项目资金管理按照《攀枝花市档案馆关于印发&lt;攀枝花市档案馆专项资金管理办法&gt;的通知》执行。办公室负责专项资金预、决算上报工作，负责专项资金使用审批、监督与审查工作，负责专项资金支付计划上报和资金支付工作。专项资金申请科室负责专项资金的申请及报批工作，负责制定专项资金使用计划、建立专项资金使用台帐工作，负责专项资金使用验收、评价工作。</w:t>
      </w:r>
    </w:p>
    <w:p>
      <w:pPr>
        <w:autoSpaceDE w:val="0"/>
        <w:autoSpaceDN w:val="0"/>
        <w:adjustRightInd w:val="0"/>
        <w:spacing w:line="576" w:lineRule="exact"/>
        <w:rPr>
          <w:rFonts w:eastAsia="方正仿宋_GBK"/>
          <w:sz w:val="33"/>
          <w:szCs w:val="33"/>
          <w:lang w:val="zh-CN"/>
        </w:rPr>
      </w:pPr>
      <w:r>
        <w:rPr>
          <w:rFonts w:eastAsia="方正仿宋_GBK"/>
          <w:sz w:val="33"/>
          <w:szCs w:val="33"/>
        </w:rPr>
        <w:t xml:space="preserve">    </w:t>
      </w:r>
      <w:r>
        <w:rPr>
          <w:rFonts w:eastAsia="方正仿宋_GBK"/>
          <w:sz w:val="33"/>
          <w:szCs w:val="33"/>
          <w:lang w:val="zh-CN"/>
        </w:rPr>
        <w:t>4</w:t>
      </w:r>
      <w:r>
        <w:rPr>
          <w:rFonts w:eastAsia="方正仿宋_GBK"/>
          <w:sz w:val="33"/>
          <w:szCs w:val="33"/>
        </w:rPr>
        <w:t>.</w:t>
      </w:r>
      <w:r>
        <w:rPr>
          <w:rFonts w:eastAsia="方正仿宋_GBK"/>
          <w:sz w:val="33"/>
          <w:szCs w:val="33"/>
          <w:lang w:val="zh-CN"/>
        </w:rPr>
        <w:t>资金分配的原则及考虑因素。</w:t>
      </w:r>
      <w:r>
        <w:rPr>
          <w:rFonts w:eastAsia="方正仿宋_GBK"/>
          <w:sz w:val="33"/>
          <w:szCs w:val="33"/>
        </w:rPr>
        <w:t>资金分配按项目实施进度及具体工作安排决定，要做到一是公开、公正、科学、高效;二是集中管理，突出重点；三是专款专用，独立核算；四是统一支付，严格把关；五是跟踪问效，责任追究。</w:t>
      </w:r>
    </w:p>
    <w:p>
      <w:pPr>
        <w:adjustRightInd w:val="0"/>
        <w:snapToGrid w:val="0"/>
        <w:spacing w:line="576" w:lineRule="exact"/>
        <w:rPr>
          <w:rFonts w:eastAsia="楷体_GB2312"/>
          <w:b/>
          <w:sz w:val="32"/>
          <w:szCs w:val="32"/>
          <w:lang w:val="zh-CN"/>
        </w:rPr>
      </w:pPr>
      <w:r>
        <w:rPr>
          <w:rFonts w:eastAsia="楷体_GB2312"/>
          <w:b/>
          <w:sz w:val="32"/>
          <w:szCs w:val="32"/>
        </w:rPr>
        <w:t xml:space="preserve">    </w:t>
      </w:r>
      <w:r>
        <w:rPr>
          <w:rFonts w:eastAsia="楷体_GB2312"/>
          <w:b/>
          <w:sz w:val="32"/>
          <w:szCs w:val="32"/>
          <w:lang w:val="zh-CN"/>
        </w:rPr>
        <w:t>（二）项目绩效目标</w:t>
      </w:r>
    </w:p>
    <w:p>
      <w:pPr>
        <w:autoSpaceDE w:val="0"/>
        <w:autoSpaceDN w:val="0"/>
        <w:adjustRightInd w:val="0"/>
        <w:spacing w:line="576" w:lineRule="exact"/>
        <w:rPr>
          <w:rFonts w:eastAsia="方正仿宋_GBK"/>
          <w:sz w:val="33"/>
          <w:szCs w:val="33"/>
        </w:rPr>
      </w:pPr>
      <w:r>
        <w:rPr>
          <w:rFonts w:eastAsia="仿宋_GB2312"/>
          <w:kern w:val="0"/>
          <w:sz w:val="32"/>
          <w:szCs w:val="32"/>
          <w:shd w:val="clear" w:color="auto" w:fill="FFFFFF"/>
        </w:rPr>
        <w:t xml:space="preserve">  </w:t>
      </w:r>
      <w:r>
        <w:rPr>
          <w:rFonts w:eastAsia="方正仿宋_GBK"/>
          <w:sz w:val="33"/>
          <w:szCs w:val="33"/>
        </w:rPr>
        <w:t xml:space="preserve">  </w:t>
      </w:r>
      <w:r>
        <w:rPr>
          <w:rFonts w:eastAsia="方正仿宋_GBK"/>
          <w:sz w:val="33"/>
          <w:szCs w:val="33"/>
          <w:lang w:val="zh-CN"/>
        </w:rPr>
        <w:t>1</w:t>
      </w:r>
      <w:r>
        <w:rPr>
          <w:rFonts w:eastAsia="方正仿宋_GBK"/>
          <w:sz w:val="33"/>
          <w:szCs w:val="33"/>
        </w:rPr>
        <w:t>.</w:t>
      </w:r>
      <w:r>
        <w:rPr>
          <w:rFonts w:eastAsia="方正仿宋_GBK"/>
          <w:sz w:val="33"/>
          <w:szCs w:val="33"/>
          <w:lang w:val="zh-CN"/>
        </w:rPr>
        <w:t>项目主要内容。</w:t>
      </w:r>
      <w:r>
        <w:rPr>
          <w:rFonts w:eastAsia="方正仿宋_GBK"/>
          <w:sz w:val="33"/>
          <w:szCs w:val="33"/>
        </w:rPr>
        <w:t>保障档案馆搬迁项目分批次支付，履行合同支付责任，市档案馆2021年搬迁项目共计346.34万未实现支付，其中档案移库搬迁（97.8万），档案馆新库房有轨密集架采购安装、旧密集架移库安装（161.66万），60万元用于以上两个项目2022年阶段性支付。</w:t>
      </w:r>
    </w:p>
    <w:p>
      <w:pPr>
        <w:autoSpaceDE w:val="0"/>
        <w:autoSpaceDN w:val="0"/>
        <w:adjustRightInd w:val="0"/>
        <w:spacing w:line="576" w:lineRule="exact"/>
        <w:rPr>
          <w:rFonts w:eastAsia="方正仿宋_GBK"/>
          <w:sz w:val="33"/>
          <w:szCs w:val="33"/>
          <w:lang w:val="zh-CN"/>
        </w:rPr>
      </w:pPr>
      <w:r>
        <w:rPr>
          <w:rFonts w:eastAsia="方正仿宋_GBK"/>
          <w:sz w:val="33"/>
          <w:szCs w:val="33"/>
        </w:rPr>
        <w:t xml:space="preserve">    </w:t>
      </w:r>
      <w:r>
        <w:rPr>
          <w:rFonts w:eastAsia="方正仿宋_GBK"/>
          <w:sz w:val="33"/>
          <w:szCs w:val="33"/>
          <w:lang w:val="zh-CN"/>
        </w:rPr>
        <w:t>2</w:t>
      </w:r>
      <w:r>
        <w:rPr>
          <w:rFonts w:eastAsia="方正仿宋_GBK"/>
          <w:sz w:val="33"/>
          <w:szCs w:val="33"/>
        </w:rPr>
        <w:t>.</w:t>
      </w:r>
      <w:r>
        <w:rPr>
          <w:rFonts w:eastAsia="方正仿宋_GBK"/>
          <w:sz w:val="33"/>
          <w:szCs w:val="33"/>
          <w:lang w:val="zh-CN"/>
        </w:rPr>
        <w:t>项目应实现的具体绩效目标。</w:t>
      </w:r>
      <w:r>
        <w:rPr>
          <w:rFonts w:eastAsia="方正仿宋_GBK"/>
          <w:sz w:val="33"/>
          <w:szCs w:val="33"/>
        </w:rPr>
        <w:t>项目应保障档案馆搬迁项目支付分阶段进行：按实际资金拨付金额，结合市档案馆搬迁项目合同金额及支付迫切程度，协调资金支付比例及金额：档案移库搬迁项目支出40万元、库房有轨密集架采购安装、旧馆库房有轨密集架移库安装项目支出20万元。资金拨付到位后于一周内实现支付。该项目效益需完成市委市政府的既定搬迁任务，实现合同约定付款责任，改善档案保管保护环境及查阅质量；满足现有档案储存任务，达到攀枝花档案存储年限要求；长期保障市档案馆数字及实体档案安全保管保护；满足企事业单位、群众查档需求，查档满意度≥90%。</w:t>
      </w:r>
    </w:p>
    <w:p>
      <w:pPr>
        <w:autoSpaceDE w:val="0"/>
        <w:autoSpaceDN w:val="0"/>
        <w:adjustRightInd w:val="0"/>
        <w:spacing w:line="576" w:lineRule="exact"/>
        <w:rPr>
          <w:rFonts w:eastAsia="方正仿宋_GBK"/>
          <w:sz w:val="33"/>
          <w:szCs w:val="33"/>
        </w:rPr>
      </w:pPr>
      <w:r>
        <w:rPr>
          <w:rFonts w:eastAsia="方正仿宋_GBK"/>
          <w:sz w:val="33"/>
          <w:szCs w:val="33"/>
        </w:rPr>
        <w:t xml:space="preserve">    3.预算申报内容与实际相符，申报目标合理。市档案馆坚持预算编制和执行的科学性、稳定性、时效性，按照预算项目绩效目标，细化项目支出用途，明确项目支出范围，对项目实施的数量、质量、时效、成本、效益、可持续影响、服务对象满意度等指标进行了论证和可行性分析，保障了市档案馆总体目标顺利实现，用有限的财政资金取得了较好的工作绩效。</w:t>
      </w:r>
    </w:p>
    <w:p>
      <w:pPr>
        <w:adjustRightInd w:val="0"/>
        <w:snapToGrid w:val="0"/>
        <w:spacing w:line="576" w:lineRule="exact"/>
        <w:rPr>
          <w:rFonts w:eastAsia="楷体_GB2312"/>
          <w:b/>
          <w:sz w:val="32"/>
          <w:szCs w:val="32"/>
          <w:lang w:val="zh-CN"/>
        </w:rPr>
      </w:pPr>
      <w:r>
        <w:rPr>
          <w:rFonts w:eastAsia="楷体_GB2312"/>
          <w:b/>
          <w:sz w:val="32"/>
          <w:szCs w:val="32"/>
        </w:rPr>
        <w:t xml:space="preserve">    </w:t>
      </w:r>
      <w:r>
        <w:rPr>
          <w:rFonts w:eastAsia="楷体_GB2312"/>
          <w:b/>
          <w:sz w:val="32"/>
          <w:szCs w:val="32"/>
          <w:lang w:val="zh-CN"/>
        </w:rPr>
        <w:t>（三）项目自评步骤及方法</w:t>
      </w:r>
    </w:p>
    <w:p>
      <w:pPr>
        <w:adjustRightInd w:val="0"/>
        <w:snapToGrid w:val="0"/>
        <w:spacing w:line="576" w:lineRule="exact"/>
        <w:rPr>
          <w:rFonts w:eastAsia="方正仿宋_GBK"/>
          <w:sz w:val="33"/>
          <w:szCs w:val="33"/>
        </w:rPr>
      </w:pPr>
      <w:r>
        <w:rPr>
          <w:rFonts w:eastAsia="方正仿宋_GBK"/>
          <w:sz w:val="33"/>
          <w:szCs w:val="33"/>
        </w:rPr>
        <w:t xml:space="preserve">    说明项目绩效自评采用的组织实施步骤及方法。项目采取自评与他评相结合方式，成立项目自评小组，结合评价内容，做到有计划，有安排，扎实开展本次自评工作 。自评小组按照上级下达的项目支出绩效评价指标体系，针对申报内容、实施情况、资金兑现、财务管理、社会效益等方面，认真听取党组意见，做出自我评价。</w:t>
      </w:r>
    </w:p>
    <w:p>
      <w:pPr>
        <w:adjustRightInd w:val="0"/>
        <w:snapToGrid w:val="0"/>
        <w:spacing w:line="576" w:lineRule="exact"/>
        <w:rPr>
          <w:rFonts w:eastAsia="黑体"/>
          <w:sz w:val="32"/>
          <w:szCs w:val="32"/>
        </w:rPr>
      </w:pPr>
      <w:bookmarkStart w:id="119" w:name="_Toc1263014758_WPSOffice_Level2"/>
      <w:r>
        <w:rPr>
          <w:rFonts w:eastAsia="黑体"/>
          <w:sz w:val="32"/>
          <w:szCs w:val="32"/>
        </w:rPr>
        <w:t xml:space="preserve">    二、项目资金申报及使用情况</w:t>
      </w:r>
      <w:bookmarkEnd w:id="119"/>
    </w:p>
    <w:p>
      <w:pPr>
        <w:adjustRightInd w:val="0"/>
        <w:snapToGrid w:val="0"/>
        <w:spacing w:line="576" w:lineRule="exact"/>
        <w:rPr>
          <w:rFonts w:eastAsia="楷体_GB2312"/>
          <w:b/>
          <w:sz w:val="32"/>
          <w:szCs w:val="32"/>
          <w:lang w:val="zh-CN"/>
        </w:rPr>
      </w:pPr>
      <w:r>
        <w:rPr>
          <w:rFonts w:eastAsia="楷体_GB2312"/>
          <w:b/>
          <w:sz w:val="32"/>
          <w:szCs w:val="32"/>
        </w:rPr>
        <w:t xml:space="preserve">    </w:t>
      </w:r>
      <w:r>
        <w:rPr>
          <w:rFonts w:eastAsia="楷体_GB2312"/>
          <w:b/>
          <w:sz w:val="32"/>
          <w:szCs w:val="32"/>
          <w:lang w:val="zh-CN"/>
        </w:rPr>
        <w:t>（一）项目资金申报及批复情况</w:t>
      </w:r>
    </w:p>
    <w:p>
      <w:pPr>
        <w:autoSpaceDE w:val="0"/>
        <w:autoSpaceDN w:val="0"/>
        <w:adjustRightInd w:val="0"/>
        <w:spacing w:line="576" w:lineRule="exact"/>
        <w:rPr>
          <w:rFonts w:eastAsia="方正仿宋_GBK"/>
          <w:sz w:val="33"/>
          <w:szCs w:val="33"/>
        </w:rPr>
      </w:pPr>
      <w:r>
        <w:rPr>
          <w:rFonts w:eastAsia="方正仿宋_GBK"/>
          <w:sz w:val="33"/>
          <w:szCs w:val="33"/>
        </w:rPr>
        <w:t xml:space="preserve">    市档案馆搬迁项目资金申报60万元、年初预算批复0万元，预算指标追加60万元，实现预算支付60万元。</w:t>
      </w:r>
    </w:p>
    <w:p>
      <w:pPr>
        <w:adjustRightInd w:val="0"/>
        <w:snapToGrid w:val="0"/>
        <w:spacing w:line="576" w:lineRule="exact"/>
        <w:rPr>
          <w:sz w:val="32"/>
          <w:szCs w:val="32"/>
          <w:lang w:val="zh-CN"/>
        </w:rPr>
      </w:pPr>
      <w:r>
        <w:rPr>
          <w:rFonts w:eastAsia="楷体_GB2312"/>
          <w:b/>
          <w:sz w:val="32"/>
          <w:szCs w:val="32"/>
        </w:rPr>
        <w:t xml:space="preserve">    </w:t>
      </w:r>
      <w:r>
        <w:rPr>
          <w:rFonts w:eastAsia="楷体_GB2312"/>
          <w:b/>
          <w:sz w:val="32"/>
          <w:szCs w:val="32"/>
          <w:lang w:val="zh-CN"/>
        </w:rPr>
        <w:t>（二）资金计划、到位及使用情况</w:t>
      </w:r>
    </w:p>
    <w:tbl>
      <w:tblPr>
        <w:tblStyle w:val="15"/>
        <w:tblpPr w:leftFromText="180" w:rightFromText="180" w:vertAnchor="text" w:horzAnchor="page" w:tblpX="1425" w:tblpY="528"/>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1"/>
        <w:gridCol w:w="7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2"/>
          </w:tcPr>
          <w:p>
            <w:pPr>
              <w:autoSpaceDE w:val="0"/>
              <w:autoSpaceDN w:val="0"/>
              <w:adjustRightInd w:val="0"/>
              <w:spacing w:line="576" w:lineRule="exact"/>
              <w:rPr>
                <w:rFonts w:eastAsia="方正仿宋_GBK"/>
                <w:kern w:val="0"/>
                <w:sz w:val="33"/>
                <w:szCs w:val="33"/>
              </w:rPr>
            </w:pPr>
            <w:r>
              <w:rPr>
                <w:rFonts w:eastAsia="方正仿宋_GBK"/>
                <w:kern w:val="0"/>
                <w:sz w:val="33"/>
                <w:szCs w:val="33"/>
              </w:rPr>
              <w:t>市档案馆搬迁项目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1" w:type="dxa"/>
          </w:tcPr>
          <w:p>
            <w:pPr>
              <w:autoSpaceDE w:val="0"/>
              <w:autoSpaceDN w:val="0"/>
              <w:adjustRightInd w:val="0"/>
              <w:spacing w:line="576" w:lineRule="exact"/>
              <w:rPr>
                <w:rFonts w:eastAsia="方正仿宋_GBK"/>
                <w:kern w:val="0"/>
                <w:sz w:val="33"/>
                <w:szCs w:val="33"/>
              </w:rPr>
            </w:pPr>
            <w:r>
              <w:rPr>
                <w:rFonts w:eastAsia="方正仿宋_GBK"/>
                <w:kern w:val="0"/>
                <w:sz w:val="33"/>
                <w:szCs w:val="33"/>
              </w:rPr>
              <w:t>资金计划</w:t>
            </w:r>
          </w:p>
        </w:tc>
        <w:tc>
          <w:tcPr>
            <w:tcW w:w="7459" w:type="dxa"/>
          </w:tcPr>
          <w:p>
            <w:pPr>
              <w:autoSpaceDE w:val="0"/>
              <w:autoSpaceDN w:val="0"/>
              <w:adjustRightInd w:val="0"/>
              <w:spacing w:line="576" w:lineRule="exact"/>
              <w:rPr>
                <w:rFonts w:eastAsia="方正仿宋_GBK"/>
                <w:kern w:val="0"/>
                <w:sz w:val="33"/>
                <w:szCs w:val="33"/>
              </w:rPr>
            </w:pPr>
            <w:r>
              <w:rPr>
                <w:rFonts w:eastAsia="方正仿宋_GBK"/>
                <w:kern w:val="0"/>
                <w:sz w:val="33"/>
                <w:szCs w:val="33"/>
              </w:rPr>
              <w:t>市财政全额拨款60万元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1" w:type="dxa"/>
          </w:tcPr>
          <w:p>
            <w:pPr>
              <w:autoSpaceDE w:val="0"/>
              <w:autoSpaceDN w:val="0"/>
              <w:adjustRightInd w:val="0"/>
              <w:spacing w:line="576" w:lineRule="exact"/>
              <w:rPr>
                <w:rFonts w:eastAsia="方正仿宋_GBK"/>
                <w:kern w:val="0"/>
                <w:sz w:val="33"/>
                <w:szCs w:val="33"/>
              </w:rPr>
            </w:pPr>
            <w:r>
              <w:rPr>
                <w:rFonts w:eastAsia="方正仿宋_GBK"/>
                <w:kern w:val="0"/>
                <w:sz w:val="33"/>
                <w:szCs w:val="33"/>
              </w:rPr>
              <w:t>资金到位</w:t>
            </w:r>
          </w:p>
        </w:tc>
        <w:tc>
          <w:tcPr>
            <w:tcW w:w="7459" w:type="dxa"/>
          </w:tcPr>
          <w:p>
            <w:pPr>
              <w:autoSpaceDE w:val="0"/>
              <w:autoSpaceDN w:val="0"/>
              <w:adjustRightInd w:val="0"/>
              <w:spacing w:line="576" w:lineRule="exact"/>
              <w:rPr>
                <w:rFonts w:eastAsia="方正仿宋_GBK"/>
                <w:kern w:val="0"/>
                <w:sz w:val="33"/>
                <w:szCs w:val="33"/>
              </w:rPr>
            </w:pPr>
            <w:r>
              <w:rPr>
                <w:rFonts w:eastAsia="方正仿宋_GBK"/>
                <w:kern w:val="0"/>
                <w:sz w:val="33"/>
                <w:szCs w:val="33"/>
              </w:rPr>
              <w:t>2022年预算指标追加市档案馆搬迁项目经费60万元，</w:t>
            </w:r>
            <w:r>
              <w:rPr>
                <w:rFonts w:eastAsia="方正仿宋_GBK"/>
                <w:sz w:val="33"/>
                <w:szCs w:val="33"/>
              </w:rPr>
              <w:t>实现预算支付60万元</w:t>
            </w:r>
            <w:r>
              <w:rPr>
                <w:rFonts w:eastAsia="方正仿宋_GBK"/>
                <w:kern w:val="0"/>
                <w:sz w:val="33"/>
                <w:szCs w:val="33"/>
              </w:rPr>
              <w:t>。资金到位率100%。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01" w:type="dxa"/>
          </w:tcPr>
          <w:p>
            <w:pPr>
              <w:autoSpaceDE w:val="0"/>
              <w:autoSpaceDN w:val="0"/>
              <w:adjustRightInd w:val="0"/>
              <w:spacing w:line="576" w:lineRule="exact"/>
              <w:rPr>
                <w:rFonts w:eastAsia="方正仿宋_GBK"/>
                <w:kern w:val="0"/>
                <w:sz w:val="33"/>
                <w:szCs w:val="33"/>
              </w:rPr>
            </w:pPr>
            <w:r>
              <w:rPr>
                <w:rFonts w:eastAsia="方正仿宋_GBK"/>
                <w:kern w:val="0"/>
                <w:sz w:val="33"/>
                <w:szCs w:val="33"/>
              </w:rPr>
              <w:t>资金使用</w:t>
            </w:r>
          </w:p>
        </w:tc>
        <w:tc>
          <w:tcPr>
            <w:tcW w:w="7459" w:type="dxa"/>
          </w:tcPr>
          <w:p>
            <w:pPr>
              <w:autoSpaceDE w:val="0"/>
              <w:autoSpaceDN w:val="0"/>
              <w:adjustRightInd w:val="0"/>
              <w:spacing w:line="576" w:lineRule="exact"/>
              <w:rPr>
                <w:rFonts w:eastAsia="方正仿宋_GBK"/>
                <w:kern w:val="0"/>
                <w:sz w:val="33"/>
                <w:szCs w:val="33"/>
              </w:rPr>
            </w:pPr>
            <w:r>
              <w:rPr>
                <w:rFonts w:eastAsia="方正仿宋_GBK"/>
                <w:kern w:val="0"/>
                <w:sz w:val="33"/>
                <w:szCs w:val="33"/>
              </w:rPr>
              <w:t>2022年预算支出共计60万元，用于市档案馆搬迁项目中机房搬迁及改造项目，其中档案移库搬迁项目支出40万元、库房有轨密集架采购安装、旧馆库房有轨密集架移库安装项目支出20万元。。支付范围、支付标准、支付进度、支付依据合规合法，与预算相符。</w:t>
            </w:r>
          </w:p>
        </w:tc>
      </w:tr>
    </w:tbl>
    <w:p>
      <w:pPr>
        <w:adjustRightInd w:val="0"/>
        <w:snapToGrid w:val="0"/>
        <w:spacing w:line="576" w:lineRule="exact"/>
        <w:rPr>
          <w:rFonts w:eastAsia="楷体_GB2312"/>
          <w:b/>
          <w:sz w:val="32"/>
          <w:szCs w:val="32"/>
          <w:lang w:val="zh-CN"/>
        </w:rPr>
      </w:pPr>
      <w:r>
        <w:rPr>
          <w:rFonts w:eastAsia="楷体_GB2312"/>
          <w:b/>
          <w:sz w:val="32"/>
          <w:szCs w:val="32"/>
          <w:lang w:val="zh-CN"/>
        </w:rPr>
        <w:t>（三）项目财务管理情况</w:t>
      </w:r>
    </w:p>
    <w:p>
      <w:pPr>
        <w:autoSpaceDE w:val="0"/>
        <w:autoSpaceDN w:val="0"/>
        <w:adjustRightInd w:val="0"/>
        <w:spacing w:line="576" w:lineRule="exact"/>
        <w:rPr>
          <w:rFonts w:eastAsia="方正仿宋_GBK"/>
          <w:sz w:val="33"/>
          <w:szCs w:val="33"/>
          <w:lang w:val="zh-CN"/>
        </w:rPr>
      </w:pPr>
      <w:r>
        <w:rPr>
          <w:rFonts w:eastAsia="方正仿宋_GBK"/>
          <w:sz w:val="33"/>
          <w:szCs w:val="33"/>
        </w:rPr>
        <w:t xml:space="preserve">    市档案馆项目资金管理按照《攀枝花市档案馆关于印发&lt;攀枝花市档案馆专项资金管理办法&gt;的通知》及《攀枝花市档案馆财务审批及报销办法》执行，严格执行财务管理制度，履行关键节点职责，账务处理及时，会计核算规范。</w:t>
      </w:r>
    </w:p>
    <w:p>
      <w:pPr>
        <w:adjustRightInd w:val="0"/>
        <w:snapToGrid w:val="0"/>
        <w:spacing w:line="576" w:lineRule="exact"/>
        <w:rPr>
          <w:rFonts w:eastAsia="仿宋_GB2312"/>
          <w:kern w:val="0"/>
          <w:sz w:val="32"/>
          <w:szCs w:val="32"/>
          <w:shd w:val="clear" w:color="auto" w:fill="FFFFFF"/>
          <w:lang w:val="zh-CN"/>
        </w:rPr>
      </w:pPr>
      <w:bookmarkStart w:id="120" w:name="_Toc57478644_WPSOffice_Level2"/>
      <w:r>
        <w:rPr>
          <w:rFonts w:eastAsia="黑体"/>
          <w:sz w:val="32"/>
          <w:szCs w:val="32"/>
        </w:rPr>
        <w:t>三、项目实施及管理情况</w:t>
      </w:r>
      <w:bookmarkEnd w:id="120"/>
    </w:p>
    <w:p>
      <w:pPr>
        <w:numPr>
          <w:ilvl w:val="0"/>
          <w:numId w:val="6"/>
        </w:numPr>
        <w:adjustRightInd w:val="0"/>
        <w:snapToGrid w:val="0"/>
        <w:spacing w:line="576" w:lineRule="exact"/>
        <w:rPr>
          <w:rFonts w:eastAsia="楷体_GB2312"/>
          <w:b/>
          <w:sz w:val="32"/>
          <w:szCs w:val="32"/>
          <w:lang w:val="zh-CN"/>
        </w:rPr>
      </w:pPr>
      <w:r>
        <w:rPr>
          <w:rFonts w:eastAsia="楷体_GB2312"/>
          <w:b/>
          <w:sz w:val="32"/>
          <w:szCs w:val="32"/>
          <w:lang w:val="zh-CN"/>
        </w:rPr>
        <w:t>项目组织架构及实施流程</w:t>
      </w:r>
    </w:p>
    <w:tbl>
      <w:tblPr>
        <w:tblStyle w:val="15"/>
        <w:tblpPr w:leftFromText="180" w:rightFromText="180" w:vertAnchor="text" w:horzAnchor="page" w:tblpX="1459" w:tblpY="560"/>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9060" w:type="dxa"/>
            <w:gridSpan w:val="2"/>
          </w:tcPr>
          <w:p>
            <w:pPr>
              <w:autoSpaceDE w:val="0"/>
              <w:autoSpaceDN w:val="0"/>
              <w:adjustRightInd w:val="0"/>
              <w:spacing w:line="576" w:lineRule="exact"/>
              <w:jc w:val="center"/>
              <w:rPr>
                <w:rFonts w:eastAsia="方正仿宋_GBK"/>
                <w:kern w:val="0"/>
                <w:sz w:val="33"/>
                <w:szCs w:val="33"/>
              </w:rPr>
            </w:pPr>
            <w:r>
              <w:rPr>
                <w:rFonts w:eastAsia="方正仿宋_GBK"/>
                <w:kern w:val="0"/>
                <w:sz w:val="33"/>
                <w:szCs w:val="33"/>
              </w:rPr>
              <w:t>市档案馆搬迁费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6" w:hRule="atLeast"/>
        </w:trPr>
        <w:tc>
          <w:tcPr>
            <w:tcW w:w="1860" w:type="dxa"/>
          </w:tcPr>
          <w:p>
            <w:pPr>
              <w:autoSpaceDE w:val="0"/>
              <w:autoSpaceDN w:val="0"/>
              <w:adjustRightInd w:val="0"/>
              <w:spacing w:line="576" w:lineRule="exact"/>
              <w:rPr>
                <w:rFonts w:eastAsia="方正仿宋_GBK"/>
                <w:kern w:val="0"/>
                <w:sz w:val="33"/>
                <w:szCs w:val="33"/>
              </w:rPr>
            </w:pPr>
            <w:r>
              <w:rPr>
                <w:rFonts w:eastAsia="方正仿宋_GBK"/>
                <w:kern w:val="0"/>
                <w:sz w:val="33"/>
                <w:szCs w:val="33"/>
              </w:rPr>
              <w:t>1.明确目标任务</w:t>
            </w:r>
          </w:p>
        </w:tc>
        <w:tc>
          <w:tcPr>
            <w:tcW w:w="7200" w:type="dxa"/>
          </w:tcPr>
          <w:p>
            <w:pPr>
              <w:autoSpaceDE w:val="0"/>
              <w:autoSpaceDN w:val="0"/>
              <w:adjustRightInd w:val="0"/>
              <w:spacing w:line="576" w:lineRule="exact"/>
              <w:rPr>
                <w:rFonts w:eastAsia="方正仿宋_GBK"/>
                <w:kern w:val="0"/>
                <w:sz w:val="33"/>
                <w:szCs w:val="33"/>
              </w:rPr>
            </w:pPr>
            <w:r>
              <w:rPr>
                <w:rFonts w:eastAsia="方正仿宋_GBK"/>
                <w:kern w:val="0"/>
                <w:sz w:val="33"/>
                <w:szCs w:val="33"/>
              </w:rPr>
              <w:t>保障档案馆搬迁项目支付分阶段进行：市档案馆2021年搬迁项目共计346.34万元未实现支付，其中档案移库搬迁（97.8万元），档案馆新库房有轨密集架采购安装、旧密集架移库安装（161.66万元），60万元用于以上两个项目2022年阶段性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1860" w:type="dxa"/>
          </w:tcPr>
          <w:p>
            <w:pPr>
              <w:autoSpaceDE w:val="0"/>
              <w:autoSpaceDN w:val="0"/>
              <w:adjustRightInd w:val="0"/>
              <w:spacing w:line="576" w:lineRule="exact"/>
              <w:rPr>
                <w:rFonts w:eastAsia="方正仿宋_GBK"/>
                <w:kern w:val="0"/>
                <w:sz w:val="33"/>
                <w:szCs w:val="33"/>
              </w:rPr>
            </w:pPr>
            <w:r>
              <w:rPr>
                <w:rFonts w:eastAsia="方正仿宋_GBK"/>
                <w:kern w:val="0"/>
                <w:sz w:val="33"/>
                <w:szCs w:val="33"/>
              </w:rPr>
              <w:t>2.明确责任科室</w:t>
            </w:r>
          </w:p>
        </w:tc>
        <w:tc>
          <w:tcPr>
            <w:tcW w:w="7200" w:type="dxa"/>
          </w:tcPr>
          <w:p>
            <w:pPr>
              <w:autoSpaceDE w:val="0"/>
              <w:autoSpaceDN w:val="0"/>
              <w:adjustRightInd w:val="0"/>
              <w:spacing w:line="576" w:lineRule="exact"/>
              <w:rPr>
                <w:rFonts w:eastAsia="方正仿宋_GBK"/>
                <w:kern w:val="0"/>
                <w:sz w:val="33"/>
                <w:szCs w:val="33"/>
              </w:rPr>
            </w:pPr>
            <w:r>
              <w:rPr>
                <w:rFonts w:eastAsia="方正仿宋_GBK"/>
                <w:kern w:val="0"/>
                <w:sz w:val="33"/>
                <w:szCs w:val="33"/>
              </w:rPr>
              <w:t>搬迁项目由</w:t>
            </w:r>
            <w:r>
              <w:rPr>
                <w:rFonts w:hint="eastAsia" w:eastAsia="方正仿宋_GBK"/>
                <w:kern w:val="0"/>
                <w:sz w:val="33"/>
                <w:szCs w:val="33"/>
              </w:rPr>
              <w:t>档案</w:t>
            </w:r>
            <w:r>
              <w:rPr>
                <w:rFonts w:eastAsia="方正仿宋_GBK"/>
                <w:kern w:val="0"/>
                <w:sz w:val="33"/>
                <w:szCs w:val="33"/>
              </w:rPr>
              <w:t>保管利用科牵头，办公室配合支付。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trPr>
        <w:tc>
          <w:tcPr>
            <w:tcW w:w="1860" w:type="dxa"/>
          </w:tcPr>
          <w:p>
            <w:pPr>
              <w:autoSpaceDE w:val="0"/>
              <w:autoSpaceDN w:val="0"/>
              <w:adjustRightInd w:val="0"/>
              <w:spacing w:line="576" w:lineRule="exact"/>
              <w:rPr>
                <w:rFonts w:eastAsia="方正仿宋_GBK"/>
                <w:kern w:val="0"/>
                <w:sz w:val="33"/>
                <w:szCs w:val="33"/>
              </w:rPr>
            </w:pPr>
            <w:r>
              <w:rPr>
                <w:rFonts w:eastAsia="方正仿宋_GBK"/>
                <w:kern w:val="0"/>
                <w:sz w:val="33"/>
                <w:szCs w:val="33"/>
              </w:rPr>
              <w:t>3.拟定方案</w:t>
            </w:r>
          </w:p>
        </w:tc>
        <w:tc>
          <w:tcPr>
            <w:tcW w:w="7200" w:type="dxa"/>
          </w:tcPr>
          <w:p>
            <w:pPr>
              <w:autoSpaceDE w:val="0"/>
              <w:autoSpaceDN w:val="0"/>
              <w:adjustRightInd w:val="0"/>
              <w:spacing w:line="576" w:lineRule="exact"/>
              <w:rPr>
                <w:rFonts w:eastAsia="方正仿宋_GBK"/>
                <w:kern w:val="0"/>
                <w:sz w:val="33"/>
                <w:szCs w:val="33"/>
              </w:rPr>
            </w:pPr>
            <w:r>
              <w:rPr>
                <w:rFonts w:eastAsia="方正仿宋_GBK"/>
                <w:kern w:val="0"/>
                <w:sz w:val="33"/>
                <w:szCs w:val="33"/>
              </w:rPr>
              <w:t>按照市档案馆搬迁项目招标合同及与项目验收结果，按照合同约定金额支付费用，考虑财政资金安排进度采取分阶段支付。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860" w:type="dxa"/>
          </w:tcPr>
          <w:p>
            <w:pPr>
              <w:autoSpaceDE w:val="0"/>
              <w:autoSpaceDN w:val="0"/>
              <w:adjustRightInd w:val="0"/>
              <w:spacing w:line="576" w:lineRule="exact"/>
              <w:rPr>
                <w:rFonts w:eastAsia="方正仿宋_GBK"/>
                <w:kern w:val="0"/>
                <w:sz w:val="33"/>
                <w:szCs w:val="33"/>
              </w:rPr>
            </w:pPr>
            <w:r>
              <w:rPr>
                <w:rFonts w:eastAsia="方正仿宋_GBK"/>
                <w:kern w:val="0"/>
                <w:sz w:val="33"/>
                <w:szCs w:val="33"/>
              </w:rPr>
              <w:t>4.协调推进</w:t>
            </w:r>
          </w:p>
        </w:tc>
        <w:tc>
          <w:tcPr>
            <w:tcW w:w="7200" w:type="dxa"/>
          </w:tcPr>
          <w:p>
            <w:pPr>
              <w:autoSpaceDE w:val="0"/>
              <w:autoSpaceDN w:val="0"/>
              <w:adjustRightInd w:val="0"/>
              <w:spacing w:line="576" w:lineRule="exact"/>
              <w:rPr>
                <w:rFonts w:eastAsia="方正仿宋_GBK"/>
                <w:kern w:val="0"/>
                <w:sz w:val="33"/>
                <w:szCs w:val="33"/>
              </w:rPr>
            </w:pPr>
            <w:r>
              <w:rPr>
                <w:rFonts w:eastAsia="方正仿宋_GBK"/>
                <w:kern w:val="0"/>
                <w:sz w:val="33"/>
                <w:szCs w:val="33"/>
              </w:rPr>
              <w:t>按方案实施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9" w:hRule="atLeast"/>
        </w:trPr>
        <w:tc>
          <w:tcPr>
            <w:tcW w:w="1860" w:type="dxa"/>
          </w:tcPr>
          <w:p>
            <w:pPr>
              <w:autoSpaceDE w:val="0"/>
              <w:autoSpaceDN w:val="0"/>
              <w:adjustRightInd w:val="0"/>
              <w:spacing w:line="576" w:lineRule="exact"/>
              <w:rPr>
                <w:rFonts w:eastAsia="方正仿宋_GBK"/>
                <w:kern w:val="0"/>
                <w:sz w:val="33"/>
                <w:szCs w:val="33"/>
              </w:rPr>
            </w:pPr>
            <w:r>
              <w:rPr>
                <w:rFonts w:eastAsia="方正仿宋_GBK"/>
                <w:kern w:val="0"/>
                <w:sz w:val="33"/>
                <w:szCs w:val="33"/>
              </w:rPr>
              <w:t>5.修订方案</w:t>
            </w:r>
          </w:p>
        </w:tc>
        <w:tc>
          <w:tcPr>
            <w:tcW w:w="7200" w:type="dxa"/>
          </w:tcPr>
          <w:p>
            <w:pPr>
              <w:autoSpaceDE w:val="0"/>
              <w:autoSpaceDN w:val="0"/>
              <w:adjustRightInd w:val="0"/>
              <w:spacing w:line="576" w:lineRule="exact"/>
              <w:rPr>
                <w:rFonts w:eastAsia="方正仿宋_GBK"/>
                <w:kern w:val="0"/>
                <w:sz w:val="33"/>
                <w:szCs w:val="33"/>
              </w:rPr>
            </w:pPr>
            <w:r>
              <w:rPr>
                <w:rFonts w:eastAsia="方正仿宋_GBK"/>
                <w:kern w:val="0"/>
                <w:sz w:val="33"/>
                <w:szCs w:val="33"/>
              </w:rPr>
              <w:t>按实际资金拨付金额，结合市档案馆搬迁项目合同金额及支付迫切程度，协调资金支付比例及金额：档案移库搬迁项目支出40万元、库房有轨密集架采购安装、旧馆库房有轨密集架移库安装项目支出20万元。资金拨付到位后于一周内实现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6" w:hRule="atLeast"/>
        </w:trPr>
        <w:tc>
          <w:tcPr>
            <w:tcW w:w="1860" w:type="dxa"/>
          </w:tcPr>
          <w:p>
            <w:pPr>
              <w:autoSpaceDE w:val="0"/>
              <w:autoSpaceDN w:val="0"/>
              <w:adjustRightInd w:val="0"/>
              <w:spacing w:line="576" w:lineRule="exact"/>
              <w:rPr>
                <w:rFonts w:eastAsia="方正仿宋_GBK"/>
                <w:kern w:val="0"/>
                <w:sz w:val="33"/>
                <w:szCs w:val="33"/>
              </w:rPr>
            </w:pPr>
            <w:r>
              <w:rPr>
                <w:rFonts w:eastAsia="方正仿宋_GBK"/>
                <w:kern w:val="0"/>
                <w:sz w:val="33"/>
                <w:szCs w:val="33"/>
              </w:rPr>
              <w:t>6.结果反馈</w:t>
            </w:r>
          </w:p>
        </w:tc>
        <w:tc>
          <w:tcPr>
            <w:tcW w:w="7200" w:type="dxa"/>
          </w:tcPr>
          <w:p>
            <w:pPr>
              <w:autoSpaceDE w:val="0"/>
              <w:autoSpaceDN w:val="0"/>
              <w:adjustRightInd w:val="0"/>
              <w:spacing w:line="576" w:lineRule="exact"/>
              <w:rPr>
                <w:rFonts w:eastAsia="方正仿宋_GBK"/>
                <w:kern w:val="0"/>
                <w:sz w:val="33"/>
                <w:szCs w:val="33"/>
              </w:rPr>
            </w:pPr>
            <w:r>
              <w:rPr>
                <w:rFonts w:eastAsia="方正仿宋_GBK"/>
                <w:kern w:val="0"/>
                <w:sz w:val="33"/>
                <w:szCs w:val="33"/>
              </w:rPr>
              <w:t>分别于2022年5月、12月按批次支付搬迁经费，实现档案移库搬迁项目支出40万元、库房有轨密集架采购安装、旧馆库房有轨密集架移库安装项目支出20万元，保障供应商合法权益，履行合约付款责任。</w:t>
            </w:r>
          </w:p>
        </w:tc>
      </w:tr>
    </w:tbl>
    <w:p>
      <w:pPr>
        <w:autoSpaceDE w:val="0"/>
        <w:autoSpaceDN w:val="0"/>
        <w:adjustRightInd w:val="0"/>
        <w:spacing w:line="576" w:lineRule="exact"/>
        <w:rPr>
          <w:rFonts w:eastAsia="方正仿宋_GBK"/>
          <w:sz w:val="33"/>
          <w:szCs w:val="33"/>
          <w:lang w:val="zh-CN"/>
        </w:rPr>
      </w:pPr>
      <w:r>
        <w:rPr>
          <w:rFonts w:eastAsia="楷体_GB2312"/>
          <w:b/>
          <w:sz w:val="32"/>
          <w:szCs w:val="32"/>
        </w:rPr>
        <w:t xml:space="preserve">    </w:t>
      </w:r>
      <w:r>
        <w:rPr>
          <w:rFonts w:eastAsia="楷体_GB2312"/>
          <w:b/>
          <w:sz w:val="32"/>
          <w:szCs w:val="32"/>
          <w:lang w:val="zh-CN"/>
        </w:rPr>
        <w:t>（二）项目管理情况。</w:t>
      </w:r>
      <w:r>
        <w:rPr>
          <w:rFonts w:eastAsia="方正仿宋_GBK"/>
          <w:sz w:val="33"/>
          <w:szCs w:val="33"/>
        </w:rPr>
        <w:t>严格按照《中华人民共和国档案法》及《四川省国家档案馆管理办法》《政府采购法》《攀枝花市档案馆专项资金管理办法》等规章制度对项目要素及实施过程进行监督，严格按照制度办法实施。</w:t>
      </w:r>
    </w:p>
    <w:p>
      <w:pPr>
        <w:spacing w:line="576" w:lineRule="exact"/>
        <w:rPr>
          <w:rFonts w:eastAsia="方正仿宋_GBK"/>
          <w:sz w:val="33"/>
          <w:szCs w:val="33"/>
        </w:rPr>
      </w:pPr>
      <w:r>
        <w:rPr>
          <w:rFonts w:eastAsia="楷体_GB2312"/>
          <w:b/>
          <w:sz w:val="32"/>
          <w:szCs w:val="32"/>
        </w:rPr>
        <w:t xml:space="preserve">    </w:t>
      </w:r>
      <w:r>
        <w:rPr>
          <w:rFonts w:eastAsia="楷体_GB2312"/>
          <w:b/>
          <w:sz w:val="32"/>
          <w:szCs w:val="32"/>
          <w:lang w:val="zh-CN"/>
        </w:rPr>
        <w:t>（三）项目监管情况。</w:t>
      </w:r>
      <w:r>
        <w:rPr>
          <w:rFonts w:eastAsia="方正仿宋_GBK"/>
          <w:sz w:val="33"/>
          <w:szCs w:val="33"/>
        </w:rPr>
        <w:t>档案馆项目资金管理按照《攀枝花市档案馆关于印发&lt;攀枝花市档案馆专项资金管理办法&gt;的通知》执行。办公室负责专项资金预、决算上报工作，负责专项资金使用审批、监督与审查工作，负责专项资金支付计划上报和资金支付工作。专项资金申请科室负责专项资金的申请及报批工作，负责制定专项资金使用计划、建立专项资金使用台帐工作，负责专项资金使用验收、评价工作。</w:t>
      </w:r>
    </w:p>
    <w:p>
      <w:pPr>
        <w:adjustRightInd w:val="0"/>
        <w:snapToGrid w:val="0"/>
        <w:spacing w:line="576" w:lineRule="exact"/>
        <w:ind w:firstLine="640" w:firstLineChars="200"/>
        <w:rPr>
          <w:sz w:val="32"/>
          <w:szCs w:val="32"/>
          <w:lang w:val="zh-CN"/>
        </w:rPr>
      </w:pPr>
      <w:bookmarkStart w:id="121" w:name="_Toc1573452767_WPSOffice_Level2"/>
      <w:r>
        <w:rPr>
          <w:rFonts w:eastAsia="黑体"/>
          <w:sz w:val="32"/>
          <w:szCs w:val="32"/>
        </w:rPr>
        <w:t>四、项目绩效情况</w:t>
      </w:r>
      <w:bookmarkEnd w:id="121"/>
      <w:r>
        <w:rPr>
          <w:sz w:val="32"/>
          <w:szCs w:val="32"/>
          <w:lang w:val="zh-CN"/>
        </w:rPr>
        <w:tab/>
      </w:r>
    </w:p>
    <w:p>
      <w:pPr>
        <w:adjustRightInd w:val="0"/>
        <w:snapToGrid w:val="0"/>
        <w:spacing w:line="576" w:lineRule="exact"/>
        <w:ind w:firstLine="642" w:firstLineChars="200"/>
        <w:rPr>
          <w:rFonts w:eastAsia="楷体_GB2312"/>
          <w:b/>
          <w:sz w:val="32"/>
          <w:szCs w:val="32"/>
          <w:lang w:val="zh-CN"/>
        </w:rPr>
      </w:pPr>
      <w:r>
        <w:rPr>
          <w:rFonts w:eastAsia="楷体_GB2312"/>
          <w:b/>
          <w:sz w:val="32"/>
          <w:szCs w:val="32"/>
          <w:lang w:val="zh-CN"/>
        </w:rPr>
        <w:t>（一）项目完成情况</w:t>
      </w:r>
    </w:p>
    <w:p>
      <w:pPr>
        <w:autoSpaceDE w:val="0"/>
        <w:autoSpaceDN w:val="0"/>
        <w:adjustRightInd w:val="0"/>
        <w:spacing w:line="600" w:lineRule="exact"/>
        <w:ind w:firstLine="660" w:firstLineChars="200"/>
        <w:jc w:val="left"/>
        <w:rPr>
          <w:rFonts w:eastAsia="方正仿宋_GBK"/>
          <w:color w:val="0000FF"/>
          <w:sz w:val="33"/>
          <w:szCs w:val="33"/>
          <w:lang w:val="zh-CN"/>
        </w:rPr>
      </w:pPr>
      <w:r>
        <w:rPr>
          <w:rFonts w:hint="eastAsia" w:eastAsia="方正仿宋_GBK"/>
          <w:sz w:val="33"/>
          <w:szCs w:val="33"/>
        </w:rPr>
        <w:t xml:space="preserve"> </w:t>
      </w:r>
      <w:r>
        <w:rPr>
          <w:rFonts w:eastAsia="方正仿宋_GBK"/>
          <w:sz w:val="33"/>
          <w:szCs w:val="33"/>
        </w:rPr>
        <w:t>市档案馆搬迁项目包括：一是攀枝花档案馆机房搬迁设备购置及改造；二是攀枝花市档案馆档案搬运移库；三是新馆库房有轨密集架采购安装、旧馆库房有轨密集架移库安装；四是冷冻除虫库设备采购安装；五是新馆库房视频监控系统建设。以上项目均按计划进度在2021年施工完毕并实现验收交付，施工过程中无安全事故发生，交付质量满足市档案馆档案实体保管保护及数据安全需求。202</w:t>
      </w:r>
      <w:r>
        <w:rPr>
          <w:rFonts w:hint="eastAsia" w:eastAsia="方正仿宋_GBK"/>
          <w:sz w:val="33"/>
          <w:szCs w:val="33"/>
        </w:rPr>
        <w:t>2</w:t>
      </w:r>
      <w:r>
        <w:rPr>
          <w:rFonts w:eastAsia="方正仿宋_GBK"/>
          <w:sz w:val="33"/>
          <w:szCs w:val="33"/>
        </w:rPr>
        <w:t>年，</w:t>
      </w:r>
      <w:r>
        <w:rPr>
          <w:rFonts w:hint="eastAsia" w:eastAsia="方正仿宋_GBK"/>
          <w:sz w:val="33"/>
          <w:szCs w:val="33"/>
        </w:rPr>
        <w:t>市档案馆</w:t>
      </w:r>
      <w:r>
        <w:rPr>
          <w:rFonts w:eastAsia="方正仿宋_GBK"/>
          <w:sz w:val="33"/>
          <w:szCs w:val="33"/>
        </w:rPr>
        <w:t>实现</w:t>
      </w:r>
      <w:r>
        <w:rPr>
          <w:rFonts w:hint="eastAsia" w:eastAsia="方正仿宋_GBK"/>
          <w:sz w:val="33"/>
          <w:szCs w:val="33"/>
        </w:rPr>
        <w:t>该</w:t>
      </w:r>
      <w:r>
        <w:rPr>
          <w:rFonts w:eastAsia="方正仿宋_GBK"/>
          <w:sz w:val="33"/>
          <w:szCs w:val="33"/>
        </w:rPr>
        <w:t>项目经费支付</w:t>
      </w:r>
      <w:r>
        <w:rPr>
          <w:rFonts w:hint="eastAsia" w:eastAsia="方正仿宋_GBK"/>
          <w:sz w:val="33"/>
          <w:szCs w:val="33"/>
        </w:rPr>
        <w:t>60</w:t>
      </w:r>
      <w:r>
        <w:rPr>
          <w:rFonts w:eastAsia="方正仿宋_GBK"/>
          <w:sz w:val="33"/>
          <w:szCs w:val="33"/>
        </w:rPr>
        <w:t>万元，</w:t>
      </w:r>
      <w:r>
        <w:rPr>
          <w:rFonts w:hint="eastAsia" w:eastAsia="方正仿宋_GBK"/>
          <w:sz w:val="33"/>
          <w:szCs w:val="33"/>
        </w:rPr>
        <w:t>分别为</w:t>
      </w:r>
      <w:r>
        <w:rPr>
          <w:rFonts w:eastAsia="方正仿宋_GBK"/>
          <w:kern w:val="0"/>
          <w:sz w:val="33"/>
          <w:szCs w:val="33"/>
        </w:rPr>
        <w:t>档案移库搬迁项目支出40万元、库房有轨密集架采购安装、旧馆库房有轨密集架移库安装项目支出20万元。</w:t>
      </w:r>
    </w:p>
    <w:p>
      <w:pPr>
        <w:adjustRightInd w:val="0"/>
        <w:snapToGrid w:val="0"/>
        <w:spacing w:line="576" w:lineRule="exact"/>
        <w:ind w:firstLine="642" w:firstLineChars="200"/>
        <w:rPr>
          <w:rFonts w:eastAsia="楷体_GB2312"/>
          <w:b/>
          <w:sz w:val="32"/>
          <w:szCs w:val="32"/>
          <w:lang w:val="zh-CN"/>
        </w:rPr>
      </w:pPr>
      <w:r>
        <w:rPr>
          <w:rFonts w:eastAsia="楷体_GB2312"/>
          <w:b/>
          <w:sz w:val="32"/>
          <w:szCs w:val="32"/>
          <w:lang w:val="zh-CN"/>
        </w:rPr>
        <w:t>（二）项目效益情况</w:t>
      </w:r>
    </w:p>
    <w:p>
      <w:pPr>
        <w:autoSpaceDE w:val="0"/>
        <w:autoSpaceDN w:val="0"/>
        <w:adjustRightInd w:val="0"/>
        <w:spacing w:line="576" w:lineRule="exact"/>
        <w:rPr>
          <w:rFonts w:eastAsia="方正仿宋_GBK"/>
          <w:sz w:val="33"/>
          <w:szCs w:val="33"/>
        </w:rPr>
      </w:pPr>
      <w:r>
        <w:rPr>
          <w:rFonts w:hint="eastAsia" w:eastAsia="方正仿宋_GBK"/>
          <w:sz w:val="33"/>
          <w:szCs w:val="33"/>
        </w:rPr>
        <w:t xml:space="preserve">    </w:t>
      </w:r>
      <w:r>
        <w:rPr>
          <w:rFonts w:eastAsia="方正仿宋_GBK"/>
          <w:sz w:val="33"/>
          <w:szCs w:val="33"/>
        </w:rPr>
        <w:t>该项目完成市委市政府的既定搬迁任务，改善档案保管保护环境及查阅质量；满足现有档案储存</w:t>
      </w:r>
      <w:r>
        <w:rPr>
          <w:rFonts w:hint="eastAsia" w:eastAsia="方正仿宋_GBK"/>
          <w:sz w:val="33"/>
          <w:szCs w:val="33"/>
        </w:rPr>
        <w:t>需求</w:t>
      </w:r>
      <w:r>
        <w:rPr>
          <w:rFonts w:eastAsia="方正仿宋_GBK"/>
          <w:sz w:val="33"/>
          <w:szCs w:val="33"/>
        </w:rPr>
        <w:t>，达到攀枝花档案存储年限要求；长期保障市档案馆</w:t>
      </w:r>
      <w:r>
        <w:rPr>
          <w:rFonts w:hint="eastAsia" w:eastAsia="方正仿宋_GBK"/>
          <w:sz w:val="33"/>
          <w:szCs w:val="33"/>
        </w:rPr>
        <w:t>数据</w:t>
      </w:r>
      <w:r>
        <w:rPr>
          <w:rFonts w:eastAsia="方正仿宋_GBK"/>
          <w:sz w:val="33"/>
          <w:szCs w:val="33"/>
        </w:rPr>
        <w:t>及实体档案安全保管保护；满足企事业单位、群众查档需求，查档满意度≥90%。</w:t>
      </w:r>
    </w:p>
    <w:p>
      <w:pPr>
        <w:adjustRightInd w:val="0"/>
        <w:snapToGrid w:val="0"/>
        <w:spacing w:line="576" w:lineRule="exact"/>
        <w:ind w:firstLine="640" w:firstLineChars="200"/>
        <w:rPr>
          <w:rFonts w:eastAsia="黑体"/>
          <w:sz w:val="32"/>
          <w:szCs w:val="32"/>
        </w:rPr>
      </w:pPr>
      <w:bookmarkStart w:id="122" w:name="_Toc422817910_WPSOffice_Level2"/>
      <w:r>
        <w:rPr>
          <w:rFonts w:eastAsia="黑体"/>
          <w:sz w:val="32"/>
          <w:szCs w:val="32"/>
        </w:rPr>
        <w:t>五、评价结论及建议</w:t>
      </w:r>
      <w:bookmarkEnd w:id="122"/>
    </w:p>
    <w:p>
      <w:pPr>
        <w:adjustRightInd w:val="0"/>
        <w:snapToGrid w:val="0"/>
        <w:spacing w:line="576" w:lineRule="exact"/>
        <w:ind w:firstLine="642" w:firstLineChars="200"/>
        <w:rPr>
          <w:rFonts w:eastAsia="楷体_GB2312"/>
          <w:b/>
          <w:sz w:val="32"/>
          <w:szCs w:val="32"/>
          <w:lang w:val="zh-CN"/>
        </w:rPr>
      </w:pPr>
      <w:r>
        <w:rPr>
          <w:rFonts w:eastAsia="楷体_GB2312"/>
          <w:b/>
          <w:sz w:val="32"/>
          <w:szCs w:val="32"/>
          <w:lang w:val="zh-CN"/>
        </w:rPr>
        <w:t>（一）评价结论</w:t>
      </w:r>
    </w:p>
    <w:p>
      <w:pPr>
        <w:autoSpaceDE w:val="0"/>
        <w:autoSpaceDN w:val="0"/>
        <w:adjustRightInd w:val="0"/>
        <w:spacing w:line="576" w:lineRule="exact"/>
        <w:rPr>
          <w:rFonts w:eastAsia="方正仿宋_GBK"/>
          <w:sz w:val="33"/>
          <w:szCs w:val="33"/>
        </w:rPr>
      </w:pPr>
      <w:r>
        <w:rPr>
          <w:rFonts w:eastAsia="方正仿宋_GBK"/>
          <w:sz w:val="33"/>
          <w:szCs w:val="33"/>
        </w:rPr>
        <w:t xml:space="preserve">    档案馆该项目决策符合国家法律法规，符合行业发展规划和政策要求，围绕市委市政府中心大局，于市档案馆职责范围相符，符合市档案馆业务发展需求，切实从市档案馆档案业务运行角度出发，达到档案保管保护及查阅利用所需条件；项目管理严格按照《攀枝花市档案馆专项资金管理办法》执行</w:t>
      </w:r>
      <w:r>
        <w:rPr>
          <w:rFonts w:hint="eastAsia" w:eastAsia="方正仿宋_GBK"/>
          <w:sz w:val="33"/>
          <w:szCs w:val="33"/>
        </w:rPr>
        <w:t>，</w:t>
      </w:r>
      <w:r>
        <w:rPr>
          <w:rFonts w:eastAsia="方正仿宋_GBK"/>
          <w:sz w:val="33"/>
          <w:szCs w:val="33"/>
        </w:rPr>
        <w:t>明确项目实施责任人及管理环节，项目实施流程清晰，管理台账齐全；项目绩效遵循实事求是、客观公正、公开透明的原则，对项目实施、项目效益、项目满意度指标等三个方面采用定量分析、定性描述对项目进行总体评价。</w:t>
      </w:r>
    </w:p>
    <w:p>
      <w:pPr>
        <w:adjustRightInd w:val="0"/>
        <w:snapToGrid w:val="0"/>
        <w:spacing w:line="576" w:lineRule="exact"/>
        <w:ind w:firstLine="642" w:firstLineChars="200"/>
        <w:rPr>
          <w:rFonts w:eastAsia="楷体_GB2312"/>
          <w:b/>
          <w:sz w:val="32"/>
          <w:szCs w:val="32"/>
          <w:lang w:val="zh-CN"/>
        </w:rPr>
      </w:pPr>
      <w:r>
        <w:rPr>
          <w:rFonts w:eastAsia="楷体_GB2312"/>
          <w:b/>
          <w:sz w:val="32"/>
          <w:szCs w:val="32"/>
          <w:lang w:val="zh-CN"/>
        </w:rPr>
        <w:t>（二）存在的问题</w:t>
      </w:r>
    </w:p>
    <w:p>
      <w:pPr>
        <w:autoSpaceDE w:val="0"/>
        <w:autoSpaceDN w:val="0"/>
        <w:adjustRightInd w:val="0"/>
        <w:spacing w:line="576" w:lineRule="exact"/>
        <w:rPr>
          <w:rFonts w:eastAsia="方正仿宋_GBK"/>
          <w:sz w:val="33"/>
          <w:szCs w:val="33"/>
        </w:rPr>
      </w:pPr>
      <w:r>
        <w:rPr>
          <w:rFonts w:eastAsia="方正仿宋_GBK"/>
          <w:sz w:val="33"/>
          <w:szCs w:val="33"/>
        </w:rPr>
        <w:t xml:space="preserve">    </w:t>
      </w:r>
      <w:r>
        <w:rPr>
          <w:rFonts w:eastAsia="方正仿宋_GBK"/>
          <w:b/>
          <w:bCs/>
          <w:sz w:val="33"/>
          <w:szCs w:val="33"/>
        </w:rPr>
        <w:t>一是</w:t>
      </w:r>
      <w:r>
        <w:rPr>
          <w:rFonts w:eastAsia="方正仿宋_GBK"/>
          <w:sz w:val="33"/>
          <w:szCs w:val="33"/>
        </w:rPr>
        <w:t>项目目标细化不到位。该项目绩效目标总体上对项目数量、质量、时效、成本指标进行了细化，但部分效益指标预期实施成果细化不到位，存在不可量化的情况。</w:t>
      </w:r>
      <w:r>
        <w:rPr>
          <w:rFonts w:eastAsia="方正仿宋_GBK"/>
          <w:b/>
          <w:bCs/>
          <w:sz w:val="33"/>
          <w:szCs w:val="33"/>
        </w:rPr>
        <w:t>二是</w:t>
      </w:r>
      <w:r>
        <w:rPr>
          <w:rFonts w:eastAsia="方正仿宋_GBK"/>
          <w:sz w:val="33"/>
          <w:szCs w:val="33"/>
        </w:rPr>
        <w:t>项目资金与项目未能明确匹配。项目涉及具体工作数量多，周期长，加之疫情影响，使得年度预算资金基本符合项目总体实施进度要求，但不能实现与具体实施精准匹配，基本上采用总量控制，按实际精度统筹使用项目资金。</w:t>
      </w:r>
    </w:p>
    <w:p>
      <w:pPr>
        <w:adjustRightInd w:val="0"/>
        <w:snapToGrid w:val="0"/>
        <w:spacing w:line="576" w:lineRule="exact"/>
        <w:ind w:firstLine="642" w:firstLineChars="200"/>
        <w:rPr>
          <w:rFonts w:eastAsia="楷体_GB2312"/>
          <w:b/>
          <w:sz w:val="32"/>
          <w:szCs w:val="32"/>
          <w:lang w:val="zh-CN"/>
        </w:rPr>
      </w:pPr>
      <w:r>
        <w:rPr>
          <w:rFonts w:eastAsia="楷体_GB2312"/>
          <w:b/>
          <w:sz w:val="32"/>
          <w:szCs w:val="32"/>
          <w:lang w:val="zh-CN"/>
        </w:rPr>
        <w:t>（三）相关建议</w:t>
      </w:r>
    </w:p>
    <w:p>
      <w:pPr>
        <w:autoSpaceDE w:val="0"/>
        <w:autoSpaceDN w:val="0"/>
        <w:adjustRightInd w:val="0"/>
        <w:spacing w:line="576" w:lineRule="exact"/>
        <w:rPr>
          <w:rFonts w:eastAsia="方正仿宋_GBK"/>
          <w:sz w:val="33"/>
          <w:szCs w:val="33"/>
        </w:rPr>
      </w:pPr>
      <w:r>
        <w:rPr>
          <w:rFonts w:eastAsia="方正仿宋_GBK"/>
          <w:sz w:val="33"/>
          <w:szCs w:val="33"/>
        </w:rPr>
        <w:t xml:space="preserve">    </w:t>
      </w:r>
      <w:r>
        <w:rPr>
          <w:rFonts w:eastAsia="方正仿宋_GBK"/>
          <w:b/>
          <w:bCs/>
          <w:sz w:val="33"/>
          <w:szCs w:val="33"/>
        </w:rPr>
        <w:t>一是</w:t>
      </w:r>
      <w:r>
        <w:rPr>
          <w:rFonts w:eastAsia="方正仿宋_GBK"/>
          <w:sz w:val="33"/>
          <w:szCs w:val="33"/>
        </w:rPr>
        <w:t>细化评价标准，科学分解目标。我馆将进一步明确项目绩效目标设置要求，同意细化标准，严格要求各项目分管科室，科学分解项目具体绩效目标，更加全面、完整地体现项目预期成效。</w:t>
      </w:r>
      <w:r>
        <w:rPr>
          <w:rFonts w:eastAsia="方正仿宋_GBK"/>
          <w:b/>
          <w:bCs/>
          <w:sz w:val="33"/>
          <w:szCs w:val="33"/>
        </w:rPr>
        <w:t>二是</w:t>
      </w:r>
      <w:r>
        <w:rPr>
          <w:rFonts w:eastAsia="方正仿宋_GBK"/>
          <w:sz w:val="33"/>
          <w:szCs w:val="33"/>
        </w:rPr>
        <w:t>精准项目匹配，明确资金分配。根据年度项目资金安排，实时把握项目进度，合理预测项目年度资金需求，将项目资金准确使用到具体项目，实现项目资金单一管理，精准使用。</w:t>
      </w:r>
    </w:p>
    <w:p>
      <w:pPr>
        <w:autoSpaceDE w:val="0"/>
        <w:autoSpaceDN w:val="0"/>
        <w:adjustRightInd w:val="0"/>
        <w:spacing w:line="576" w:lineRule="exact"/>
        <w:rPr>
          <w:rStyle w:val="29"/>
          <w:rFonts w:eastAsia="黑体"/>
          <w:b w:val="0"/>
        </w:rPr>
      </w:pPr>
    </w:p>
    <w:p>
      <w:pPr>
        <w:pStyle w:val="2"/>
        <w:spacing w:before="93"/>
        <w:rPr>
          <w:rFonts w:ascii="Times New Roman"/>
        </w:rPr>
      </w:pPr>
    </w:p>
    <w:p>
      <w:pPr>
        <w:widowControl/>
        <w:spacing w:line="576" w:lineRule="exact"/>
        <w:jc w:val="left"/>
        <w:rPr>
          <w:rStyle w:val="29"/>
          <w:rFonts w:eastAsia="黑体"/>
          <w:b w:val="0"/>
        </w:rPr>
      </w:pPr>
      <w:r>
        <w:rPr>
          <w:rStyle w:val="29"/>
          <w:rFonts w:eastAsia="黑体"/>
          <w:b w:val="0"/>
        </w:rPr>
        <w:br w:type="page"/>
      </w:r>
    </w:p>
    <w:p>
      <w:pPr>
        <w:spacing w:line="576" w:lineRule="exact"/>
        <w:jc w:val="center"/>
        <w:outlineLvl w:val="0"/>
        <w:rPr>
          <w:rFonts w:eastAsia="仿宋"/>
        </w:rPr>
      </w:pPr>
      <w:bookmarkStart w:id="123" w:name="_Toc98558766_WPSOffice_Level1"/>
      <w:bookmarkStart w:id="124" w:name="_Toc15396618"/>
      <w:r>
        <w:rPr>
          <w:rFonts w:eastAsia="黑体"/>
          <w:sz w:val="44"/>
          <w:szCs w:val="44"/>
        </w:rPr>
        <w:t>第</w:t>
      </w:r>
      <w:r>
        <w:rPr>
          <w:rStyle w:val="29"/>
          <w:rFonts w:eastAsia="黑体"/>
          <w:b w:val="0"/>
        </w:rPr>
        <w:t>五部分 附表</w:t>
      </w:r>
      <w:bookmarkEnd w:id="109"/>
      <w:bookmarkEnd w:id="123"/>
      <w:bookmarkEnd w:id="124"/>
      <w:bookmarkStart w:id="125" w:name="_Toc15396619"/>
    </w:p>
    <w:p>
      <w:pPr>
        <w:pStyle w:val="4"/>
        <w:spacing w:line="576" w:lineRule="exact"/>
        <w:rPr>
          <w:rFonts w:ascii="Times New Roman" w:hAnsi="Times New Roman" w:eastAsia="仿宋" w:cs="Times New Roman"/>
        </w:rPr>
      </w:pPr>
      <w:bookmarkStart w:id="126" w:name="_Toc1369660746_WPSOffice_Level2"/>
      <w:r>
        <w:rPr>
          <w:rFonts w:ascii="Times New Roman" w:hAnsi="Times New Roman" w:eastAsia="仿宋" w:cs="Times New Roman"/>
          <w:b w:val="0"/>
        </w:rPr>
        <w:t>一、收</w:t>
      </w:r>
      <w:r>
        <w:rPr>
          <w:rStyle w:val="30"/>
          <w:rFonts w:ascii="Times New Roman" w:hAnsi="Times New Roman" w:eastAsia="仿宋" w:cs="Times New Roman"/>
          <w:b w:val="0"/>
          <w:bCs w:val="0"/>
        </w:rPr>
        <w:t>入支出决算总表</w:t>
      </w:r>
      <w:bookmarkEnd w:id="125"/>
      <w:bookmarkEnd w:id="126"/>
    </w:p>
    <w:p>
      <w:pPr>
        <w:pStyle w:val="4"/>
        <w:spacing w:line="576" w:lineRule="exact"/>
        <w:rPr>
          <w:rFonts w:ascii="Times New Roman" w:hAnsi="Times New Roman" w:eastAsia="仿宋" w:cs="Times New Roman"/>
        </w:rPr>
      </w:pPr>
      <w:bookmarkStart w:id="127" w:name="_Toc156700017_WPSOffice_Level2"/>
      <w:bookmarkStart w:id="128" w:name="_Toc15396620"/>
      <w:r>
        <w:rPr>
          <w:rFonts w:ascii="Times New Roman" w:hAnsi="Times New Roman" w:eastAsia="仿宋" w:cs="Times New Roman"/>
          <w:b w:val="0"/>
        </w:rPr>
        <w:t>二、收</w:t>
      </w:r>
      <w:r>
        <w:rPr>
          <w:rStyle w:val="30"/>
          <w:rFonts w:ascii="Times New Roman" w:hAnsi="Times New Roman" w:eastAsia="仿宋" w:cs="Times New Roman"/>
          <w:b w:val="0"/>
          <w:bCs w:val="0"/>
        </w:rPr>
        <w:t>入决算表</w:t>
      </w:r>
      <w:bookmarkEnd w:id="127"/>
      <w:bookmarkEnd w:id="128"/>
    </w:p>
    <w:p>
      <w:pPr>
        <w:pStyle w:val="4"/>
        <w:spacing w:line="576" w:lineRule="exact"/>
        <w:rPr>
          <w:rFonts w:ascii="Times New Roman" w:hAnsi="Times New Roman" w:eastAsia="仿宋" w:cs="Times New Roman"/>
        </w:rPr>
      </w:pPr>
      <w:bookmarkStart w:id="129" w:name="_Toc15396621"/>
      <w:bookmarkStart w:id="130" w:name="_Toc1327624524_WPSOffice_Level2"/>
      <w:r>
        <w:rPr>
          <w:rStyle w:val="30"/>
          <w:rFonts w:ascii="Times New Roman" w:hAnsi="Times New Roman" w:eastAsia="仿宋" w:cs="Times New Roman"/>
          <w:b w:val="0"/>
          <w:bCs w:val="0"/>
        </w:rPr>
        <w:t>三、</w:t>
      </w:r>
      <w:r>
        <w:rPr>
          <w:rFonts w:ascii="Times New Roman" w:hAnsi="Times New Roman" w:eastAsia="仿宋" w:cs="Times New Roman"/>
          <w:b w:val="0"/>
        </w:rPr>
        <w:t>支</w:t>
      </w:r>
      <w:r>
        <w:rPr>
          <w:rStyle w:val="30"/>
          <w:rFonts w:ascii="Times New Roman" w:hAnsi="Times New Roman" w:eastAsia="仿宋" w:cs="Times New Roman"/>
          <w:b w:val="0"/>
          <w:bCs w:val="0"/>
        </w:rPr>
        <w:t>出决算表</w:t>
      </w:r>
      <w:bookmarkEnd w:id="129"/>
      <w:bookmarkEnd w:id="130"/>
    </w:p>
    <w:p>
      <w:pPr>
        <w:pStyle w:val="4"/>
        <w:spacing w:line="576" w:lineRule="exact"/>
        <w:rPr>
          <w:rFonts w:ascii="Times New Roman" w:hAnsi="Times New Roman" w:eastAsia="仿宋" w:cs="Times New Roman"/>
          <w:b w:val="0"/>
        </w:rPr>
      </w:pPr>
      <w:bookmarkStart w:id="131" w:name="_Toc1096678383_WPSOffice_Level2"/>
      <w:bookmarkStart w:id="132" w:name="_Toc15396622"/>
      <w:r>
        <w:rPr>
          <w:rStyle w:val="30"/>
          <w:rFonts w:ascii="Times New Roman" w:hAnsi="Times New Roman" w:eastAsia="仿宋" w:cs="Times New Roman"/>
          <w:b w:val="0"/>
          <w:bCs w:val="0"/>
        </w:rPr>
        <w:t>四、</w:t>
      </w:r>
      <w:r>
        <w:rPr>
          <w:rFonts w:ascii="Times New Roman" w:hAnsi="Times New Roman" w:eastAsia="仿宋" w:cs="Times New Roman"/>
          <w:b w:val="0"/>
        </w:rPr>
        <w:t>财</w:t>
      </w:r>
      <w:r>
        <w:rPr>
          <w:rStyle w:val="30"/>
          <w:rFonts w:ascii="Times New Roman" w:hAnsi="Times New Roman" w:eastAsia="仿宋" w:cs="Times New Roman"/>
          <w:b w:val="0"/>
          <w:bCs w:val="0"/>
        </w:rPr>
        <w:t>政拨款收入支出决算总表</w:t>
      </w:r>
      <w:bookmarkEnd w:id="131"/>
      <w:bookmarkEnd w:id="132"/>
    </w:p>
    <w:p>
      <w:pPr>
        <w:pStyle w:val="4"/>
        <w:spacing w:line="576" w:lineRule="exact"/>
        <w:rPr>
          <w:rStyle w:val="30"/>
          <w:rFonts w:ascii="Times New Roman" w:hAnsi="Times New Roman" w:eastAsia="仿宋" w:cs="Times New Roman"/>
          <w:b w:val="0"/>
          <w:bCs w:val="0"/>
        </w:rPr>
      </w:pPr>
      <w:bookmarkStart w:id="133" w:name="_Toc1555493933_WPSOffice_Level2"/>
      <w:bookmarkStart w:id="134" w:name="_Toc15396623"/>
      <w:r>
        <w:rPr>
          <w:rStyle w:val="30"/>
          <w:rFonts w:ascii="Times New Roman" w:hAnsi="Times New Roman" w:eastAsia="仿宋" w:cs="Times New Roman"/>
          <w:b w:val="0"/>
          <w:bCs w:val="0"/>
        </w:rPr>
        <w:t>五、</w:t>
      </w:r>
      <w:r>
        <w:rPr>
          <w:rFonts w:ascii="Times New Roman" w:hAnsi="Times New Roman" w:eastAsia="仿宋" w:cs="Times New Roman"/>
          <w:b w:val="0"/>
        </w:rPr>
        <w:t>财</w:t>
      </w:r>
      <w:r>
        <w:rPr>
          <w:rStyle w:val="30"/>
          <w:rFonts w:ascii="Times New Roman" w:hAnsi="Times New Roman" w:eastAsia="仿宋" w:cs="Times New Roman"/>
          <w:b w:val="0"/>
          <w:bCs w:val="0"/>
        </w:rPr>
        <w:t>政拨款支出决算明细表</w:t>
      </w:r>
      <w:bookmarkEnd w:id="133"/>
      <w:bookmarkEnd w:id="134"/>
      <w:bookmarkStart w:id="135" w:name="_Toc15396624"/>
    </w:p>
    <w:p>
      <w:pPr>
        <w:pStyle w:val="4"/>
        <w:spacing w:line="576" w:lineRule="exact"/>
        <w:rPr>
          <w:rFonts w:ascii="Times New Roman" w:hAnsi="Times New Roman" w:eastAsia="仿宋" w:cs="Times New Roman"/>
        </w:rPr>
      </w:pPr>
      <w:bookmarkStart w:id="136" w:name="_Toc492136503_WPSOffice_Level2"/>
      <w:r>
        <w:rPr>
          <w:rStyle w:val="30"/>
          <w:rFonts w:ascii="Times New Roman" w:hAnsi="Times New Roman" w:eastAsia="仿宋" w:cs="Times New Roman"/>
          <w:b w:val="0"/>
          <w:bCs w:val="0"/>
        </w:rPr>
        <w:t>六、</w:t>
      </w:r>
      <w:r>
        <w:rPr>
          <w:rFonts w:ascii="Times New Roman" w:hAnsi="Times New Roman" w:eastAsia="仿宋" w:cs="Times New Roman"/>
          <w:b w:val="0"/>
        </w:rPr>
        <w:t>一</w:t>
      </w:r>
      <w:r>
        <w:rPr>
          <w:rStyle w:val="30"/>
          <w:rFonts w:ascii="Times New Roman" w:hAnsi="Times New Roman" w:eastAsia="仿宋" w:cs="Times New Roman"/>
          <w:b w:val="0"/>
          <w:bCs w:val="0"/>
        </w:rPr>
        <w:t>般公共预算财政拨款支出决算表</w:t>
      </w:r>
      <w:bookmarkEnd w:id="135"/>
      <w:bookmarkEnd w:id="136"/>
    </w:p>
    <w:p>
      <w:pPr>
        <w:pStyle w:val="4"/>
        <w:spacing w:line="576" w:lineRule="exact"/>
        <w:rPr>
          <w:rFonts w:ascii="Times New Roman" w:hAnsi="Times New Roman" w:eastAsia="仿宋" w:cs="Times New Roman"/>
        </w:rPr>
      </w:pPr>
      <w:bookmarkStart w:id="137" w:name="_Toc15396625"/>
      <w:bookmarkStart w:id="138" w:name="_Toc2077441754_WPSOffice_Level2"/>
      <w:r>
        <w:rPr>
          <w:rStyle w:val="30"/>
          <w:rFonts w:ascii="Times New Roman" w:hAnsi="Times New Roman" w:eastAsia="仿宋" w:cs="Times New Roman"/>
          <w:b w:val="0"/>
          <w:bCs w:val="0"/>
        </w:rPr>
        <w:t>七、</w:t>
      </w:r>
      <w:r>
        <w:rPr>
          <w:rFonts w:ascii="Times New Roman" w:hAnsi="Times New Roman" w:eastAsia="仿宋" w:cs="Times New Roman"/>
          <w:b w:val="0"/>
        </w:rPr>
        <w:t>一</w:t>
      </w:r>
      <w:r>
        <w:rPr>
          <w:rStyle w:val="30"/>
          <w:rFonts w:ascii="Times New Roman" w:hAnsi="Times New Roman" w:eastAsia="仿宋" w:cs="Times New Roman"/>
          <w:b w:val="0"/>
          <w:bCs w:val="0"/>
        </w:rPr>
        <w:t>般公共预算财政拨款支出决算明细表</w:t>
      </w:r>
      <w:bookmarkEnd w:id="137"/>
      <w:bookmarkEnd w:id="138"/>
    </w:p>
    <w:p>
      <w:pPr>
        <w:pStyle w:val="4"/>
        <w:spacing w:line="576" w:lineRule="exact"/>
        <w:rPr>
          <w:rFonts w:ascii="Times New Roman" w:hAnsi="Times New Roman" w:eastAsia="仿宋" w:cs="Times New Roman"/>
        </w:rPr>
      </w:pPr>
      <w:bookmarkStart w:id="139" w:name="_Toc731801418_WPSOffice_Level2"/>
      <w:bookmarkStart w:id="140" w:name="_Toc15396626"/>
      <w:r>
        <w:rPr>
          <w:rStyle w:val="30"/>
          <w:rFonts w:ascii="Times New Roman" w:hAnsi="Times New Roman" w:eastAsia="仿宋" w:cs="Times New Roman"/>
          <w:b w:val="0"/>
          <w:bCs w:val="0"/>
        </w:rPr>
        <w:t>八、</w:t>
      </w:r>
      <w:r>
        <w:rPr>
          <w:rFonts w:ascii="Times New Roman" w:hAnsi="Times New Roman" w:eastAsia="仿宋" w:cs="Times New Roman"/>
          <w:b w:val="0"/>
        </w:rPr>
        <w:t>一</w:t>
      </w:r>
      <w:r>
        <w:rPr>
          <w:rStyle w:val="30"/>
          <w:rFonts w:ascii="Times New Roman" w:hAnsi="Times New Roman" w:eastAsia="仿宋" w:cs="Times New Roman"/>
          <w:b w:val="0"/>
          <w:bCs w:val="0"/>
        </w:rPr>
        <w:t>般公共预算财政拨款基本支出决算表</w:t>
      </w:r>
      <w:bookmarkEnd w:id="139"/>
      <w:bookmarkEnd w:id="140"/>
    </w:p>
    <w:p>
      <w:pPr>
        <w:pStyle w:val="4"/>
        <w:spacing w:line="576" w:lineRule="exact"/>
        <w:rPr>
          <w:rFonts w:ascii="Times New Roman" w:hAnsi="Times New Roman" w:eastAsia="仿宋" w:cs="Times New Roman"/>
        </w:rPr>
      </w:pPr>
      <w:bookmarkStart w:id="141" w:name="_Toc1209728593_WPSOffice_Level2"/>
      <w:bookmarkStart w:id="142" w:name="_Toc15396627"/>
      <w:r>
        <w:rPr>
          <w:rStyle w:val="30"/>
          <w:rFonts w:ascii="Times New Roman" w:hAnsi="Times New Roman" w:eastAsia="仿宋" w:cs="Times New Roman"/>
          <w:b w:val="0"/>
          <w:bCs w:val="0"/>
        </w:rPr>
        <w:t>九、</w:t>
      </w:r>
      <w:r>
        <w:rPr>
          <w:rFonts w:ascii="Times New Roman" w:hAnsi="Times New Roman" w:eastAsia="仿宋" w:cs="Times New Roman"/>
          <w:b w:val="0"/>
        </w:rPr>
        <w:t>一</w:t>
      </w:r>
      <w:r>
        <w:rPr>
          <w:rStyle w:val="30"/>
          <w:rFonts w:ascii="Times New Roman" w:hAnsi="Times New Roman" w:eastAsia="仿宋" w:cs="Times New Roman"/>
          <w:b w:val="0"/>
          <w:bCs w:val="0"/>
        </w:rPr>
        <w:t>般公共预算财政拨款项目支出决算表</w:t>
      </w:r>
      <w:bookmarkEnd w:id="141"/>
      <w:bookmarkEnd w:id="142"/>
    </w:p>
    <w:p>
      <w:pPr>
        <w:pStyle w:val="4"/>
        <w:spacing w:line="576" w:lineRule="exact"/>
        <w:rPr>
          <w:rFonts w:ascii="Times New Roman" w:hAnsi="Times New Roman" w:eastAsia="仿宋" w:cs="Times New Roman"/>
        </w:rPr>
      </w:pPr>
      <w:bookmarkStart w:id="143" w:name="_Toc15396628"/>
      <w:bookmarkStart w:id="144" w:name="_Toc28516872_WPSOffice_Level2"/>
      <w:r>
        <w:rPr>
          <w:rStyle w:val="30"/>
          <w:rFonts w:ascii="Times New Roman" w:hAnsi="Times New Roman" w:eastAsia="仿宋" w:cs="Times New Roman"/>
          <w:b w:val="0"/>
          <w:bCs w:val="0"/>
        </w:rPr>
        <w:t>十、</w:t>
      </w:r>
      <w:bookmarkEnd w:id="143"/>
      <w:r>
        <w:rPr>
          <w:rFonts w:ascii="Times New Roman" w:hAnsi="Times New Roman" w:eastAsia="仿宋" w:cs="Times New Roman"/>
          <w:b w:val="0"/>
        </w:rPr>
        <w:t>政</w:t>
      </w:r>
      <w:r>
        <w:rPr>
          <w:rStyle w:val="30"/>
          <w:rFonts w:ascii="Times New Roman" w:hAnsi="Times New Roman" w:eastAsia="仿宋" w:cs="Times New Roman"/>
          <w:b w:val="0"/>
          <w:bCs w:val="0"/>
        </w:rPr>
        <w:t>府性基金预算财政拨款收入支出决算表</w:t>
      </w:r>
      <w:bookmarkEnd w:id="144"/>
    </w:p>
    <w:p>
      <w:pPr>
        <w:pStyle w:val="4"/>
        <w:spacing w:line="576" w:lineRule="exact"/>
        <w:rPr>
          <w:rFonts w:ascii="Times New Roman" w:hAnsi="Times New Roman" w:eastAsia="仿宋" w:cs="Times New Roman"/>
        </w:rPr>
      </w:pPr>
      <w:bookmarkStart w:id="145" w:name="_Toc15396629"/>
      <w:bookmarkStart w:id="146" w:name="_Toc1757773620_WPSOffice_Level2"/>
      <w:r>
        <w:rPr>
          <w:rStyle w:val="30"/>
          <w:rFonts w:ascii="Times New Roman" w:hAnsi="Times New Roman" w:eastAsia="仿宋" w:cs="Times New Roman"/>
          <w:b w:val="0"/>
          <w:bCs w:val="0"/>
        </w:rPr>
        <w:t>十一、</w:t>
      </w:r>
      <w:bookmarkEnd w:id="145"/>
      <w:r>
        <w:rPr>
          <w:rFonts w:ascii="Times New Roman" w:hAnsi="Times New Roman" w:eastAsia="仿宋" w:cs="Times New Roman"/>
          <w:b w:val="0"/>
        </w:rPr>
        <w:t>国</w:t>
      </w:r>
      <w:r>
        <w:rPr>
          <w:rStyle w:val="30"/>
          <w:rFonts w:ascii="Times New Roman" w:hAnsi="Times New Roman" w:eastAsia="仿宋" w:cs="Times New Roman"/>
          <w:b w:val="0"/>
          <w:bCs w:val="0"/>
        </w:rPr>
        <w:t>有资本经营预算财政拨款收入支出决算表</w:t>
      </w:r>
      <w:bookmarkEnd w:id="146"/>
    </w:p>
    <w:p>
      <w:pPr>
        <w:pStyle w:val="4"/>
        <w:spacing w:line="576" w:lineRule="exact"/>
        <w:rPr>
          <w:rFonts w:ascii="Times New Roman" w:hAnsi="Times New Roman" w:eastAsia="仿宋" w:cs="Times New Roman"/>
        </w:rPr>
      </w:pPr>
      <w:bookmarkStart w:id="147" w:name="_Toc15396630"/>
      <w:bookmarkStart w:id="148" w:name="_Toc683253055_WPSOffice_Level2"/>
      <w:r>
        <w:rPr>
          <w:rStyle w:val="30"/>
          <w:rFonts w:ascii="Times New Roman" w:hAnsi="Times New Roman" w:eastAsia="仿宋" w:cs="Times New Roman"/>
          <w:b w:val="0"/>
          <w:bCs w:val="0"/>
        </w:rPr>
        <w:t>十二、</w:t>
      </w:r>
      <w:bookmarkEnd w:id="147"/>
      <w:r>
        <w:rPr>
          <w:rStyle w:val="30"/>
          <w:rFonts w:ascii="Times New Roman" w:hAnsi="Times New Roman" w:eastAsia="仿宋" w:cs="Times New Roman"/>
          <w:b w:val="0"/>
          <w:bCs w:val="0"/>
        </w:rPr>
        <w:t>国有资本经营预算财政拨款支出决算表</w:t>
      </w:r>
      <w:bookmarkEnd w:id="148"/>
    </w:p>
    <w:p>
      <w:pPr>
        <w:pStyle w:val="4"/>
        <w:spacing w:line="576" w:lineRule="exact"/>
        <w:rPr>
          <w:rFonts w:ascii="Times New Roman" w:hAnsi="Times New Roman" w:eastAsia="仿宋" w:cs="Times New Roman"/>
        </w:rPr>
      </w:pPr>
      <w:bookmarkStart w:id="149" w:name="_Toc15396631"/>
      <w:bookmarkStart w:id="150" w:name="_Toc1955581603_WPSOffice_Level2"/>
      <w:r>
        <w:rPr>
          <w:rStyle w:val="30"/>
          <w:rFonts w:ascii="Times New Roman" w:hAnsi="Times New Roman" w:eastAsia="仿宋" w:cs="Times New Roman"/>
          <w:b w:val="0"/>
          <w:bCs w:val="0"/>
        </w:rPr>
        <w:t>十三、</w:t>
      </w:r>
      <w:bookmarkEnd w:id="149"/>
      <w:r>
        <w:rPr>
          <w:rStyle w:val="30"/>
          <w:rFonts w:ascii="Times New Roman" w:hAnsi="Times New Roman" w:eastAsia="仿宋" w:cs="Times New Roman"/>
          <w:b w:val="0"/>
          <w:bCs w:val="0"/>
        </w:rPr>
        <w:t>财政拨款“三公”经费支出决算表</w:t>
      </w:r>
      <w:bookmarkEnd w:id="150"/>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altName w:val="Times New Roman"/>
    <w:panose1 w:val="020B0604020202020204"/>
    <w:charset w:val="00"/>
    <w:family w:val="swiss"/>
    <w:pitch w:val="default"/>
    <w:sig w:usb0="00000000" w:usb1="00000000" w:usb2="00000009" w:usb3="00000000" w:csb0="000001FF" w:csb1="00000000"/>
  </w:font>
  <w:font w:name="??">
    <w:altName w:val="Times New Roman"/>
    <w:panose1 w:val="00000000000000000000"/>
    <w:charset w:val="00"/>
    <w:family w:val="roman"/>
    <w:pitch w:val="default"/>
    <w:sig w:usb0="00000000" w:usb1="00000000" w:usb2="00000000" w:usb3="00000000" w:csb0="00000000" w:csb1="00000000"/>
  </w:font>
  <w:font w:name="等线">
    <w:altName w:val="华文仿宋"/>
    <w:panose1 w:val="02010600030101010101"/>
    <w:charset w:val="86"/>
    <w:family w:val="auto"/>
    <w:pitch w:val="default"/>
    <w:sig w:usb0="00000000" w:usb1="00000000" w:usb2="00000016" w:usb3="00000000" w:csb0="0004000F" w:csb1="00000000"/>
  </w:font>
  <w:font w:name="Courier New">
    <w:altName w:val="DejaVu Sans"/>
    <w:panose1 w:val="02070309020205020404"/>
    <w:charset w:val="00"/>
    <w:family w:val="modern"/>
    <w:pitch w:val="default"/>
    <w:sig w:usb0="00000000" w:usb1="00000000" w:usb2="00000009" w:usb3="00000000" w:csb0="000001FF"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37</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CFFEF228"/>
    <w:multiLevelType w:val="singleLevel"/>
    <w:tmpl w:val="CFFEF228"/>
    <w:lvl w:ilvl="0" w:tentative="0">
      <w:start w:val="4"/>
      <w:numFmt w:val="chineseCounting"/>
      <w:suff w:val="nothing"/>
      <w:lvlText w:val="（%1）"/>
      <w:lvlJc w:val="left"/>
      <w:rPr>
        <w:rFonts w:hint="eastAsia"/>
      </w:rPr>
    </w:lvl>
  </w:abstractNum>
  <w:abstractNum w:abstractNumId="2">
    <w:nsid w:val="DEBEF323"/>
    <w:multiLevelType w:val="singleLevel"/>
    <w:tmpl w:val="DEBEF323"/>
    <w:lvl w:ilvl="0" w:tentative="0">
      <w:start w:val="4"/>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7C9EA07F"/>
    <w:multiLevelType w:val="singleLevel"/>
    <w:tmpl w:val="7C9EA07F"/>
    <w:lvl w:ilvl="0" w:tentative="0">
      <w:start w:val="1"/>
      <w:numFmt w:val="chineseCounting"/>
      <w:suff w:val="nothing"/>
      <w:lvlText w:val="（%1）"/>
      <w:lvlJc w:val="left"/>
      <w:rPr>
        <w:rFonts w:hint="eastAsia"/>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05"/>
  <w:drawingGridVerticalSpacing w:val="156"/>
  <w:displayHorizontalDrawingGridEvery w:val="0"/>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36D0C"/>
    <w:rsid w:val="00142216"/>
    <w:rsid w:val="00144D6A"/>
    <w:rsid w:val="0014729F"/>
    <w:rsid w:val="00157BAB"/>
    <w:rsid w:val="001654D1"/>
    <w:rsid w:val="00174518"/>
    <w:rsid w:val="0018106D"/>
    <w:rsid w:val="001877A7"/>
    <w:rsid w:val="00191536"/>
    <w:rsid w:val="00196687"/>
    <w:rsid w:val="001C0962"/>
    <w:rsid w:val="001D7531"/>
    <w:rsid w:val="001E2FF1"/>
    <w:rsid w:val="001E737D"/>
    <w:rsid w:val="001F0592"/>
    <w:rsid w:val="001F7506"/>
    <w:rsid w:val="002006CD"/>
    <w:rsid w:val="00202B36"/>
    <w:rsid w:val="00204B7A"/>
    <w:rsid w:val="00204CDE"/>
    <w:rsid w:val="0021101A"/>
    <w:rsid w:val="00217081"/>
    <w:rsid w:val="00220536"/>
    <w:rsid w:val="00235629"/>
    <w:rsid w:val="00247B82"/>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46E63"/>
    <w:rsid w:val="0046709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25E15"/>
    <w:rsid w:val="00564C8F"/>
    <w:rsid w:val="005664BB"/>
    <w:rsid w:val="00566FFA"/>
    <w:rsid w:val="0057481D"/>
    <w:rsid w:val="0058486E"/>
    <w:rsid w:val="00585B33"/>
    <w:rsid w:val="0059014D"/>
    <w:rsid w:val="005B5C64"/>
    <w:rsid w:val="005B67C6"/>
    <w:rsid w:val="005C5337"/>
    <w:rsid w:val="005C6BD0"/>
    <w:rsid w:val="005D1C8B"/>
    <w:rsid w:val="005D468D"/>
    <w:rsid w:val="005D5CED"/>
    <w:rsid w:val="005D7D8C"/>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280B"/>
    <w:rsid w:val="006748A4"/>
    <w:rsid w:val="00681A31"/>
    <w:rsid w:val="00683E73"/>
    <w:rsid w:val="006A3141"/>
    <w:rsid w:val="006A5E34"/>
    <w:rsid w:val="006B2422"/>
    <w:rsid w:val="006B2B9A"/>
    <w:rsid w:val="006C1937"/>
    <w:rsid w:val="006D146F"/>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30D0"/>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3DCE"/>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E4DB6"/>
    <w:rsid w:val="009F1185"/>
    <w:rsid w:val="009F18CD"/>
    <w:rsid w:val="009F2A13"/>
    <w:rsid w:val="009F5540"/>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AF0A50"/>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2575"/>
    <w:rsid w:val="00C533CC"/>
    <w:rsid w:val="00C5751C"/>
    <w:rsid w:val="00C61BFC"/>
    <w:rsid w:val="00C62B85"/>
    <w:rsid w:val="00C65438"/>
    <w:rsid w:val="00C87FD8"/>
    <w:rsid w:val="00C91381"/>
    <w:rsid w:val="00C91CBB"/>
    <w:rsid w:val="00CB4E70"/>
    <w:rsid w:val="00CC09B6"/>
    <w:rsid w:val="00CC666F"/>
    <w:rsid w:val="00CC6BAC"/>
    <w:rsid w:val="00CD1E3F"/>
    <w:rsid w:val="00CE44F6"/>
    <w:rsid w:val="00CE49DA"/>
    <w:rsid w:val="00CE7B61"/>
    <w:rsid w:val="00D00095"/>
    <w:rsid w:val="00D114F0"/>
    <w:rsid w:val="00D20620"/>
    <w:rsid w:val="00D254F7"/>
    <w:rsid w:val="00D26091"/>
    <w:rsid w:val="00D2685C"/>
    <w:rsid w:val="00D34E7C"/>
    <w:rsid w:val="00D34F17"/>
    <w:rsid w:val="00D35489"/>
    <w:rsid w:val="00D36AFE"/>
    <w:rsid w:val="00D51276"/>
    <w:rsid w:val="00D7035F"/>
    <w:rsid w:val="00DA634F"/>
    <w:rsid w:val="00DA65AC"/>
    <w:rsid w:val="00DB1913"/>
    <w:rsid w:val="00DC410D"/>
    <w:rsid w:val="00DC4B63"/>
    <w:rsid w:val="00DC5A81"/>
    <w:rsid w:val="00DC68CA"/>
    <w:rsid w:val="00DC7CBA"/>
    <w:rsid w:val="00DD73B7"/>
    <w:rsid w:val="00DF06E2"/>
    <w:rsid w:val="00DF28BC"/>
    <w:rsid w:val="00DF34B9"/>
    <w:rsid w:val="00E01053"/>
    <w:rsid w:val="00E07ACF"/>
    <w:rsid w:val="00E22135"/>
    <w:rsid w:val="00E331A1"/>
    <w:rsid w:val="00E33202"/>
    <w:rsid w:val="00E336A9"/>
    <w:rsid w:val="00E472B1"/>
    <w:rsid w:val="00E50624"/>
    <w:rsid w:val="00E5285B"/>
    <w:rsid w:val="00E568DF"/>
    <w:rsid w:val="00E64269"/>
    <w:rsid w:val="00E82267"/>
    <w:rsid w:val="00E853CE"/>
    <w:rsid w:val="00E867B6"/>
    <w:rsid w:val="00EA010F"/>
    <w:rsid w:val="00ED1B63"/>
    <w:rsid w:val="00ED3C1F"/>
    <w:rsid w:val="00ED4085"/>
    <w:rsid w:val="00ED420E"/>
    <w:rsid w:val="00ED6FBE"/>
    <w:rsid w:val="00EE2F57"/>
    <w:rsid w:val="00EF39C0"/>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5975B8"/>
    <w:rsid w:val="02143E91"/>
    <w:rsid w:val="066E0107"/>
    <w:rsid w:val="07996F6E"/>
    <w:rsid w:val="0A2032A3"/>
    <w:rsid w:val="0F98263C"/>
    <w:rsid w:val="101860EC"/>
    <w:rsid w:val="10C055FF"/>
    <w:rsid w:val="118107EC"/>
    <w:rsid w:val="13D50BC4"/>
    <w:rsid w:val="155D6052"/>
    <w:rsid w:val="16BB723D"/>
    <w:rsid w:val="1BE8440E"/>
    <w:rsid w:val="1D155CEE"/>
    <w:rsid w:val="1FF35744"/>
    <w:rsid w:val="23860B96"/>
    <w:rsid w:val="240371BF"/>
    <w:rsid w:val="29FD04D3"/>
    <w:rsid w:val="2C8A61B5"/>
    <w:rsid w:val="2DF04E50"/>
    <w:rsid w:val="2F040D46"/>
    <w:rsid w:val="319F7F4E"/>
    <w:rsid w:val="3304709D"/>
    <w:rsid w:val="36AA5135"/>
    <w:rsid w:val="36F77B40"/>
    <w:rsid w:val="376D39B2"/>
    <w:rsid w:val="37E16F03"/>
    <w:rsid w:val="38D469F0"/>
    <w:rsid w:val="3D98207C"/>
    <w:rsid w:val="3E78745D"/>
    <w:rsid w:val="3FDFCECD"/>
    <w:rsid w:val="44E268DA"/>
    <w:rsid w:val="4A627F82"/>
    <w:rsid w:val="4B0E749A"/>
    <w:rsid w:val="4B4F25DA"/>
    <w:rsid w:val="4BE068DB"/>
    <w:rsid w:val="4D577224"/>
    <w:rsid w:val="4EAB630A"/>
    <w:rsid w:val="4ECE2238"/>
    <w:rsid w:val="537E6D0A"/>
    <w:rsid w:val="5AF92295"/>
    <w:rsid w:val="5CD71FC4"/>
    <w:rsid w:val="5F768EC3"/>
    <w:rsid w:val="66F736E9"/>
    <w:rsid w:val="6C4A05C8"/>
    <w:rsid w:val="6E7E3605"/>
    <w:rsid w:val="6FF5CC65"/>
    <w:rsid w:val="6FFE342B"/>
    <w:rsid w:val="715C0E4B"/>
    <w:rsid w:val="72734D90"/>
    <w:rsid w:val="73AD73D5"/>
    <w:rsid w:val="73B6EB34"/>
    <w:rsid w:val="744731E5"/>
    <w:rsid w:val="76E3355F"/>
    <w:rsid w:val="778769C8"/>
    <w:rsid w:val="77BE01E8"/>
    <w:rsid w:val="79EE5BA4"/>
    <w:rsid w:val="7A894339"/>
    <w:rsid w:val="7EB9FC58"/>
    <w:rsid w:val="7EEF11D3"/>
    <w:rsid w:val="7F7F6D7A"/>
    <w:rsid w:val="7FA30C79"/>
    <w:rsid w:val="7FB337ED"/>
    <w:rsid w:val="7FB7269E"/>
    <w:rsid w:val="7FC96657"/>
    <w:rsid w:val="7FDEF864"/>
    <w:rsid w:val="AAEF8FAB"/>
    <w:rsid w:val="B7FF1CED"/>
    <w:rsid w:val="B96D4F89"/>
    <w:rsid w:val="D8D6DB89"/>
    <w:rsid w:val="DB6F4CAB"/>
    <w:rsid w:val="DE3FAAF5"/>
    <w:rsid w:val="DF6F9789"/>
    <w:rsid w:val="DFE79E6A"/>
    <w:rsid w:val="DFFFA76C"/>
    <w:rsid w:val="E51DBCA5"/>
    <w:rsid w:val="EF63D213"/>
    <w:rsid w:val="F76C388D"/>
    <w:rsid w:val="F87D3088"/>
    <w:rsid w:val="FB9BB4CA"/>
    <w:rsid w:val="FDFF94CF"/>
    <w:rsid w:val="FDFFBC53"/>
    <w:rsid w:val="FEDAFE34"/>
    <w:rsid w:val="FFBAF63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6"/>
    <w:qFormat/>
    <w:uiPriority w:val="99"/>
    <w:pPr>
      <w:spacing w:beforeLines="30"/>
    </w:pPr>
    <w:rPr>
      <w:rFonts w:ascii="仿宋_GB2312" w:eastAsia="仿宋_GB2312"/>
      <w:kern w:val="0"/>
      <w:sz w:val="30"/>
    </w:rPr>
  </w:style>
  <w:style w:type="paragraph" w:styleId="6">
    <w:name w:val="Body Text Indent"/>
    <w:basedOn w:val="1"/>
    <w:qFormat/>
    <w:uiPriority w:val="0"/>
    <w:pPr>
      <w:spacing w:after="120"/>
      <w:ind w:left="200" w:leftChars="200"/>
    </w:pPr>
    <w:rPr>
      <w:rFonts w:ascii="仿宋_GB2312"/>
      <w:szCs w:val="32"/>
    </w:rPr>
  </w:style>
  <w:style w:type="paragraph" w:styleId="7">
    <w:name w:val="toc 3"/>
    <w:basedOn w:val="1"/>
    <w:next w:val="1"/>
    <w:unhideWhenUsed/>
    <w:qFormat/>
    <w:uiPriority w:val="39"/>
    <w:pPr>
      <w:tabs>
        <w:tab w:val="right" w:leader="dot" w:pos="8296"/>
      </w:tabs>
      <w:ind w:left="840" w:leftChars="400"/>
    </w:pPr>
  </w:style>
  <w:style w:type="paragraph" w:styleId="8">
    <w:name w:val="Plain Text"/>
    <w:qFormat/>
    <w:uiPriority w:val="0"/>
    <w:pPr>
      <w:widowControl w:val="0"/>
      <w:jc w:val="both"/>
    </w:pPr>
    <w:rPr>
      <w:rFonts w:ascii="宋体" w:hAnsi="宋体" w:eastAsia="仿宋_GB2312" w:cs="Times New Roman"/>
      <w:kern w:val="2"/>
      <w:sz w:val="32"/>
      <w:szCs w:val="32"/>
      <w:lang w:val="en-US" w:eastAsia="zh-CN" w:bidi="ar-SA"/>
    </w:rPr>
  </w:style>
  <w:style w:type="paragraph" w:styleId="9">
    <w:name w:val="Balloon Text"/>
    <w:basedOn w:val="1"/>
    <w:link w:val="32"/>
    <w:semiHidden/>
    <w:unhideWhenUsed/>
    <w:qFormat/>
    <w:uiPriority w:val="99"/>
    <w:rPr>
      <w:sz w:val="18"/>
      <w:szCs w:val="18"/>
    </w:rPr>
  </w:style>
  <w:style w:type="paragraph" w:styleId="10">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Body Text First Indent 2"/>
    <w:basedOn w:val="6"/>
    <w:unhideWhenUsed/>
    <w:qFormat/>
    <w:uiPriority w:val="99"/>
    <w:pPr>
      <w:ind w:firstLine="420" w:firstLineChars="200"/>
    </w:pPr>
  </w:style>
  <w:style w:type="character" w:styleId="17">
    <w:name w:val="Strong"/>
    <w:basedOn w:val="16"/>
    <w:qFormat/>
    <w:uiPriority w:val="99"/>
    <w:rPr>
      <w:b/>
    </w:rPr>
  </w:style>
  <w:style w:type="character" w:styleId="18">
    <w:name w:val="FollowedHyperlink"/>
    <w:basedOn w:val="16"/>
    <w:semiHidden/>
    <w:unhideWhenUsed/>
    <w:qFormat/>
    <w:uiPriority w:val="99"/>
    <w:rPr>
      <w:color w:val="954F72"/>
      <w:u w:val="single"/>
    </w:rPr>
  </w:style>
  <w:style w:type="character" w:styleId="19">
    <w:name w:val="Hyperlink"/>
    <w:basedOn w:val="16"/>
    <w:unhideWhenUsed/>
    <w:qFormat/>
    <w:uiPriority w:val="99"/>
    <w:rPr>
      <w:color w:val="0000FF" w:themeColor="hyperlink"/>
      <w:u w:val="single"/>
      <w14:textFill>
        <w14:solidFill>
          <w14:schemeClr w14:val="hlink"/>
        </w14:solidFill>
      </w14:textFill>
    </w:rPr>
  </w:style>
  <w:style w:type="paragraph" w:customStyle="1" w:styleId="20">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1">
    <w:name w:val="Header Char"/>
    <w:basedOn w:val="16"/>
    <w:semiHidden/>
    <w:qFormat/>
    <w:uiPriority w:val="99"/>
    <w:rPr>
      <w:rFonts w:ascii="Times New Roman" w:hAnsi="Times New Roman"/>
      <w:sz w:val="18"/>
      <w:szCs w:val="18"/>
    </w:rPr>
  </w:style>
  <w:style w:type="character" w:customStyle="1" w:styleId="22">
    <w:name w:val="页眉 字符"/>
    <w:link w:val="11"/>
    <w:semiHidden/>
    <w:qFormat/>
    <w:locked/>
    <w:uiPriority w:val="99"/>
    <w:rPr>
      <w:sz w:val="18"/>
    </w:rPr>
  </w:style>
  <w:style w:type="character" w:customStyle="1" w:styleId="23">
    <w:name w:val="Footer Char"/>
    <w:basedOn w:val="16"/>
    <w:semiHidden/>
    <w:qFormat/>
    <w:uiPriority w:val="99"/>
    <w:rPr>
      <w:rFonts w:ascii="Times New Roman" w:hAnsi="Times New Roman"/>
      <w:sz w:val="18"/>
      <w:szCs w:val="18"/>
    </w:rPr>
  </w:style>
  <w:style w:type="character" w:customStyle="1" w:styleId="24">
    <w:name w:val="页脚 字符"/>
    <w:link w:val="10"/>
    <w:qFormat/>
    <w:locked/>
    <w:uiPriority w:val="99"/>
    <w:rPr>
      <w:sz w:val="18"/>
    </w:rPr>
  </w:style>
  <w:style w:type="character" w:customStyle="1" w:styleId="25">
    <w:name w:val="Body Text Char"/>
    <w:basedOn w:val="16"/>
    <w:semiHidden/>
    <w:qFormat/>
    <w:uiPriority w:val="99"/>
    <w:rPr>
      <w:rFonts w:ascii="Times New Roman" w:hAnsi="Times New Roman"/>
      <w:szCs w:val="24"/>
    </w:rPr>
  </w:style>
  <w:style w:type="character" w:customStyle="1" w:styleId="26">
    <w:name w:val="正文文本 字符"/>
    <w:link w:val="2"/>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字符"/>
    <w:basedOn w:val="16"/>
    <w:link w:val="3"/>
    <w:qFormat/>
    <w:uiPriority w:val="9"/>
    <w:rPr>
      <w:rFonts w:ascii="Times New Roman" w:hAnsi="Times New Roman"/>
      <w:b/>
      <w:bCs/>
      <w:kern w:val="44"/>
      <w:sz w:val="44"/>
      <w:szCs w:val="44"/>
    </w:rPr>
  </w:style>
  <w:style w:type="character" w:customStyle="1" w:styleId="30">
    <w:name w:val="标题 2 字符"/>
    <w:basedOn w:val="16"/>
    <w:link w:val="4"/>
    <w:qFormat/>
    <w:uiPriority w:val="9"/>
    <w:rPr>
      <w:rFonts w:asciiTheme="majorHAnsi" w:hAnsiTheme="majorHAnsi" w:eastAsiaTheme="majorEastAsia" w:cstheme="majorBidi"/>
      <w:b/>
      <w:bCs/>
      <w:kern w:val="2"/>
      <w:sz w:val="32"/>
      <w:szCs w:val="32"/>
    </w:rPr>
  </w:style>
  <w:style w:type="paragraph" w:customStyle="1" w:styleId="31">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字符"/>
    <w:basedOn w:val="16"/>
    <w:link w:val="9"/>
    <w:semiHidden/>
    <w:qFormat/>
    <w:uiPriority w:val="99"/>
    <w:rPr>
      <w:rFonts w:ascii="Times New Roman" w:hAnsi="Times New Roman"/>
      <w:kern w:val="2"/>
      <w:sz w:val="18"/>
      <w:szCs w:val="18"/>
    </w:rPr>
  </w:style>
  <w:style w:type="character" w:customStyle="1" w:styleId="33">
    <w:name w:val="标题 3 字符"/>
    <w:basedOn w:val="16"/>
    <w:link w:val="5"/>
    <w:qFormat/>
    <w:uiPriority w:val="9"/>
    <w:rPr>
      <w:rFonts w:ascii="Times New Roman" w:hAnsi="Times New Roman"/>
      <w:b/>
      <w:bCs/>
      <w:kern w:val="2"/>
      <w:sz w:val="32"/>
      <w:szCs w:val="32"/>
    </w:rPr>
  </w:style>
  <w:style w:type="paragraph" w:customStyle="1" w:styleId="34">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5">
    <w:name w:val="四号正文"/>
    <w:basedOn w:val="1"/>
    <w:qFormat/>
    <w:uiPriority w:val="0"/>
    <w:pPr>
      <w:spacing w:line="360" w:lineRule="auto"/>
    </w:pPr>
    <w:rPr>
      <w:rFonts w:ascii="??" w:hAnsi="??"/>
      <w:color w:val="000000"/>
      <w:kern w:val="0"/>
      <w:sz w:val="28"/>
      <w:szCs w:val="21"/>
      <w:lang w:val="zh-CN"/>
    </w:rPr>
  </w:style>
  <w:style w:type="paragraph" w:customStyle="1" w:styleId="36">
    <w:name w:val="TOC 标题3"/>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37">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8">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39">
    <w:name w:val="xl6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color w:val="000000"/>
      <w:kern w:val="0"/>
      <w:sz w:val="18"/>
      <w:szCs w:val="18"/>
    </w:rPr>
  </w:style>
  <w:style w:type="paragraph" w:customStyle="1" w:styleId="40">
    <w:name w:val="xl64"/>
    <w:basedOn w:val="1"/>
    <w:qFormat/>
    <w:uiPriority w:val="0"/>
    <w:pPr>
      <w:widowControl/>
      <w:spacing w:before="100" w:beforeAutospacing="1" w:after="100" w:afterAutospacing="1"/>
      <w:jc w:val="left"/>
    </w:pPr>
    <w:rPr>
      <w:rFonts w:ascii="Courier New" w:hAnsi="Courier New" w:cs="Courier New"/>
      <w:color w:val="000000"/>
      <w:kern w:val="0"/>
      <w:sz w:val="18"/>
      <w:szCs w:val="18"/>
    </w:rPr>
  </w:style>
  <w:style w:type="paragraph" w:customStyle="1" w:styleId="41">
    <w:name w:val="xl6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42">
    <w:name w:val="xl6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43">
    <w:name w:val="xl6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44">
    <w:name w:val="xl6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微软雅黑" w:hAnsi="微软雅黑" w:eastAsia="微软雅黑" w:cs="宋体"/>
      <w:i/>
      <w:iCs/>
      <w:color w:val="000000"/>
      <w:kern w:val="0"/>
      <w:sz w:val="16"/>
      <w:szCs w:val="16"/>
    </w:rPr>
  </w:style>
  <w:style w:type="paragraph" w:customStyle="1" w:styleId="45">
    <w:name w:val="xl6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6">
    <w:name w:val="xl7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黑体" w:hAnsi="黑体" w:eastAsia="黑体" w:cs="宋体"/>
      <w:b/>
      <w:bCs/>
      <w:color w:val="000000"/>
      <w:kern w:val="0"/>
      <w:sz w:val="30"/>
      <w:szCs w:val="30"/>
    </w:rPr>
  </w:style>
  <w:style w:type="paragraph" w:customStyle="1" w:styleId="47">
    <w:name w:val="xl7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Courier New" w:hAnsi="Courier New" w:cs="Courier New"/>
      <w:color w:val="000000"/>
      <w:kern w:val="0"/>
      <w:sz w:val="18"/>
      <w:szCs w:val="18"/>
    </w:rPr>
  </w:style>
  <w:style w:type="paragraph" w:customStyle="1" w:styleId="48">
    <w:name w:val="xl7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Courier New" w:hAnsi="Courier New" w:cs="Courier New"/>
      <w:color w:val="000000"/>
      <w:kern w:val="0"/>
      <w:sz w:val="18"/>
      <w:szCs w:val="18"/>
    </w:rPr>
  </w:style>
  <w:style w:type="paragraph" w:customStyle="1" w:styleId="49">
    <w:name w:val="xl7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Courier New" w:hAnsi="Courier New" w:cs="Courier New"/>
      <w:i/>
      <w:iCs/>
      <w:color w:val="000000"/>
      <w:kern w:val="0"/>
      <w:sz w:val="18"/>
      <w:szCs w:val="18"/>
    </w:rPr>
  </w:style>
  <w:style w:type="paragraph" w:customStyle="1" w:styleId="50">
    <w:name w:val="xl7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i/>
      <w:iCs/>
      <w:color w:val="000000"/>
      <w:kern w:val="0"/>
      <w:sz w:val="16"/>
      <w:szCs w:val="16"/>
    </w:rPr>
  </w:style>
  <w:style w:type="paragraph" w:customStyle="1" w:styleId="51">
    <w:name w:val="WPSOffice手动目录 1"/>
    <w:qFormat/>
    <w:uiPriority w:val="0"/>
    <w:rPr>
      <w:rFonts w:asciiTheme="minorHAnsi" w:hAnsiTheme="minorHAnsi" w:eastAsiaTheme="minorEastAsia" w:cstheme="minorBidi"/>
      <w:lang w:val="en-US" w:eastAsia="zh-CN" w:bidi="ar-SA"/>
    </w:rPr>
  </w:style>
  <w:style w:type="paragraph" w:customStyle="1" w:styleId="52">
    <w:name w:val="WPSOffice手动目录 2"/>
    <w:qFormat/>
    <w:uiPriority w:val="0"/>
    <w:pPr>
      <w:ind w:left="200" w:leftChars="2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glossaryDocument" Target="glossary/document.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Sheet1!$B$1</c:f>
              <c:strCache>
                <c:ptCount val="1"/>
                <c:pt idx="0">
                  <c:v>2021</c:v>
                </c:pt>
              </c:strCache>
            </c:strRef>
          </c:tx>
          <c:invertIfNegative val="false"/>
          <c:dLbls>
            <c:delete val="true"/>
          </c:dLbls>
          <c:cat>
            <c:strRef>
              <c:f>Sheet1!$A$2:$A$3</c:f>
              <c:strCache>
                <c:ptCount val="2"/>
                <c:pt idx="0">
                  <c:v>收入总计</c:v>
                </c:pt>
                <c:pt idx="1">
                  <c:v>支出总计</c:v>
                </c:pt>
              </c:strCache>
            </c:strRef>
          </c:cat>
          <c:val>
            <c:numRef>
              <c:f>Sheet1!$B$2:$B$3</c:f>
              <c:numCache>
                <c:formatCode>General</c:formatCode>
                <c:ptCount val="2"/>
                <c:pt idx="0">
                  <c:v>818.47</c:v>
                </c:pt>
                <c:pt idx="1">
                  <c:v>827.24</c:v>
                </c:pt>
              </c:numCache>
            </c:numRef>
          </c:val>
        </c:ser>
        <c:ser>
          <c:idx val="1"/>
          <c:order val="1"/>
          <c:tx>
            <c:strRef>
              <c:f>Sheet1!$C$1</c:f>
              <c:strCache>
                <c:ptCount val="1"/>
                <c:pt idx="0">
                  <c:v>2022</c:v>
                </c:pt>
              </c:strCache>
            </c:strRef>
          </c:tx>
          <c:invertIfNegative val="false"/>
          <c:dLbls>
            <c:delete val="true"/>
          </c:dLbls>
          <c:cat>
            <c:strRef>
              <c:f>Sheet1!$A$2:$A$3</c:f>
              <c:strCache>
                <c:ptCount val="2"/>
                <c:pt idx="0">
                  <c:v>收入总计</c:v>
                </c:pt>
                <c:pt idx="1">
                  <c:v>支出总计</c:v>
                </c:pt>
              </c:strCache>
            </c:strRef>
          </c:cat>
          <c:val>
            <c:numRef>
              <c:f>Sheet1!$C$2:$C$3</c:f>
              <c:numCache>
                <c:formatCode>General</c:formatCode>
                <c:ptCount val="2"/>
                <c:pt idx="0">
                  <c:v>831.09</c:v>
                </c:pt>
                <c:pt idx="1">
                  <c:v>831.09</c:v>
                </c:pt>
              </c:numCache>
            </c:numRef>
          </c:val>
        </c:ser>
        <c:dLbls>
          <c:showLegendKey val="false"/>
          <c:showVal val="false"/>
          <c:showCatName val="false"/>
          <c:showSerName val="false"/>
          <c:showPercent val="false"/>
          <c:showBubbleSize val="false"/>
        </c:dLbls>
        <c:gapWidth val="150"/>
        <c:axId val="118195328"/>
        <c:axId val="118196864"/>
      </c:barChart>
      <c:catAx>
        <c:axId val="118195328"/>
        <c:scaling>
          <c:orientation val="minMax"/>
        </c:scaling>
        <c:delete val="false"/>
        <c:axPos val="b"/>
        <c:numFmt formatCode="General" sourceLinked="fals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18196864"/>
        <c:crosses val="autoZero"/>
        <c:auto val="true"/>
        <c:lblAlgn val="ctr"/>
        <c:lblOffset val="100"/>
        <c:noMultiLvlLbl val="false"/>
      </c:catAx>
      <c:valAx>
        <c:axId val="118196864"/>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18195328"/>
        <c:crosses val="autoZero"/>
        <c:crossBetween val="between"/>
      </c:valAx>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121160485424294"/>
          <c:y val="0.144664041994751"/>
          <c:w val="0.446087576783773"/>
          <c:h val="0.845335958005249"/>
        </c:manualLayout>
      </c:layout>
      <c:pieChart>
        <c:varyColors val="true"/>
        <c:ser>
          <c:idx val="0"/>
          <c:order val="0"/>
          <c:tx>
            <c:strRef>
              <c:f>Sheet1!$A$2</c:f>
              <c:strCache>
                <c:ptCount val="1"/>
                <c:pt idx="0">
                  <c:v>收入</c:v>
                </c:pt>
              </c:strCache>
            </c:strRef>
          </c:tx>
          <c:spPr>
            <a:solidFill>
              <a:srgbClr val="9999FF"/>
            </a:solidFill>
            <a:ln w="12699">
              <a:solidFill>
                <a:srgbClr val="000000"/>
              </a:solidFill>
              <a:prstDash val="solid"/>
            </a:ln>
          </c:spPr>
          <c:explosion val="84"/>
          <c:dPt>
            <c:idx val="0"/>
            <c:bubble3D val="false"/>
            <c:spPr>
              <a:solidFill>
                <a:srgbClr val="9999FF"/>
              </a:solidFill>
              <a:ln w="12699">
                <a:solidFill>
                  <a:srgbClr val="000000"/>
                </a:solidFill>
                <a:prstDash val="solid"/>
              </a:ln>
            </c:spPr>
          </c:dPt>
          <c:dPt>
            <c:idx val="1"/>
            <c:bubble3D val="false"/>
            <c:spPr>
              <a:solidFill>
                <a:srgbClr val="993366"/>
              </a:solidFill>
              <a:ln w="12699">
                <a:solidFill>
                  <a:srgbClr val="000000"/>
                </a:solidFill>
                <a:prstDash val="solid"/>
              </a:ln>
            </c:spPr>
          </c:dPt>
          <c:dLbls>
            <c:delete val="true"/>
          </c:dLbls>
          <c:cat>
            <c:strRef>
              <c:f>Sheet1!$B$1:$C$1</c:f>
              <c:strCache>
                <c:ptCount val="2"/>
                <c:pt idx="0">
                  <c:v>财政拨款收入</c:v>
                </c:pt>
                <c:pt idx="1">
                  <c:v>其他收入</c:v>
                </c:pt>
              </c:strCache>
            </c:strRef>
          </c:cat>
          <c:val>
            <c:numRef>
              <c:f>Sheet1!$B$2:$C$2</c:f>
              <c:numCache>
                <c:formatCode>General</c:formatCode>
                <c:ptCount val="2"/>
                <c:pt idx="0">
                  <c:v>751.44</c:v>
                </c:pt>
                <c:pt idx="1">
                  <c:v>0</c:v>
                </c:pt>
              </c:numCache>
            </c:numRef>
          </c:val>
        </c:ser>
        <c:dLbls>
          <c:showLegendKey val="false"/>
          <c:showVal val="false"/>
          <c:showCatName val="false"/>
          <c:showSerName val="false"/>
          <c:showPercent val="false"/>
          <c:showBubbleSize val="false"/>
          <c:showLeaderLines val="true"/>
        </c:dLbls>
        <c:firstSliceAng val="0"/>
      </c:pieChart>
      <c:spPr>
        <a:solidFill>
          <a:srgbClr val="C0C0C0"/>
        </a:solidFill>
        <a:ln w="12699">
          <a:solidFill>
            <a:srgbClr val="808080"/>
          </a:solidFill>
          <a:prstDash val="solid"/>
        </a:ln>
      </c:spPr>
    </c:plotArea>
    <c:legend>
      <c:legendPos val="r"/>
      <c:layout>
        <c:manualLayout>
          <c:xMode val="edge"/>
          <c:yMode val="edge"/>
          <c:x val="0.670422535211268"/>
          <c:y val="0.413793103448276"/>
          <c:w val="0.31830985915493"/>
          <c:h val="0.176724137931034"/>
        </c:manualLayout>
      </c:layout>
      <c:overlay val="false"/>
      <c:spPr>
        <a:noFill/>
        <a:ln w="3175">
          <a:solidFill>
            <a:srgbClr val="000000"/>
          </a:solidFill>
          <a:prstDash val="solid"/>
        </a:ln>
      </c:spPr>
      <c:txPr>
        <a:bodyPr rot="0" spcFirstLastPara="0" vertOverflow="ellipsis" vert="horz" wrap="square" anchor="ctr" anchorCtr="true"/>
        <a:lstStyle/>
        <a:p>
          <a:pPr>
            <a:defRPr lang="zh-CN" sz="1055" b="0" i="0" u="none" strike="noStrike" kern="1200" baseline="0">
              <a:solidFill>
                <a:srgbClr val="000000"/>
              </a:solidFill>
              <a:latin typeface="宋体" charset="-122"/>
              <a:ea typeface="宋体" charset="-122"/>
              <a:cs typeface="宋体" charset="-122"/>
            </a:defRPr>
          </a:pPr>
        </a:p>
      </c:txPr>
    </c:legend>
    <c:plotVisOnly val="true"/>
    <c:dispBlanksAs val="zero"/>
    <c:showDLblsOverMax val="false"/>
  </c:chart>
  <c:spPr>
    <a:noFill/>
    <a:ln w="9525" cap="flat" cmpd="sng" algn="ctr">
      <a:noFill/>
      <a:prstDash val="solid"/>
      <a:round/>
    </a:ln>
  </c:spPr>
  <c:txPr>
    <a:bodyPr/>
    <a:lstStyle/>
    <a:p>
      <a:pPr>
        <a:defRPr lang="zh-CN" sz="1150" b="0" i="0" u="none" strike="noStrike" baseline="0">
          <a:solidFill>
            <a:srgbClr val="000000"/>
          </a:solidFill>
          <a:latin typeface="宋体" charset="-122"/>
          <a:ea typeface="宋体" charset="-122"/>
          <a:cs typeface="宋体" charset="-122"/>
        </a:defRPr>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1125326235629"/>
          <c:y val="0.15210028207055"/>
          <c:w val="0.463551957413774"/>
          <c:h val="0.682825497435227"/>
        </c:manualLayout>
      </c:layout>
      <c:pieChart>
        <c:varyColors val="true"/>
        <c:ser>
          <c:idx val="0"/>
          <c:order val="0"/>
          <c:tx>
            <c:strRef>
              <c:f>Sheet1!$A$2</c:f>
              <c:strCache>
                <c:ptCount val="1"/>
                <c:pt idx="0">
                  <c:v>支出</c:v>
                </c:pt>
              </c:strCache>
            </c:strRef>
          </c:tx>
          <c:spPr>
            <a:solidFill>
              <a:srgbClr val="9999FF"/>
            </a:solidFill>
            <a:ln w="12700">
              <a:solidFill>
                <a:srgbClr val="000000"/>
              </a:solidFill>
              <a:prstDash val="solid"/>
            </a:ln>
          </c:spPr>
          <c:explosion val="0"/>
          <c:dPt>
            <c:idx val="0"/>
            <c:bubble3D val="false"/>
            <c:spPr>
              <a:solidFill>
                <a:srgbClr val="FF8080"/>
              </a:solidFill>
              <a:ln w="12700">
                <a:solidFill>
                  <a:srgbClr val="000000"/>
                </a:solidFill>
                <a:prstDash val="solid"/>
              </a:ln>
            </c:spPr>
          </c:dPt>
          <c:dPt>
            <c:idx val="1"/>
            <c:bubble3D val="false"/>
            <c:spPr>
              <a:solidFill>
                <a:srgbClr val="FFFF00"/>
              </a:solidFill>
              <a:ln w="12700">
                <a:solidFill>
                  <a:srgbClr val="000000"/>
                </a:solidFill>
                <a:prstDash val="solid"/>
              </a:ln>
            </c:spPr>
          </c:dPt>
          <c:dLbls>
            <c:delete val="true"/>
          </c:dLbls>
          <c:cat>
            <c:strRef>
              <c:f>Sheet1!$B$1:$C$1</c:f>
              <c:strCache>
                <c:ptCount val="2"/>
                <c:pt idx="0">
                  <c:v>基本支出</c:v>
                </c:pt>
                <c:pt idx="1">
                  <c:v>项目支出</c:v>
                </c:pt>
              </c:strCache>
            </c:strRef>
          </c:cat>
          <c:val>
            <c:numRef>
              <c:f>Sheet1!$B$2:$C$2</c:f>
              <c:numCache>
                <c:formatCode>General</c:formatCode>
                <c:ptCount val="2"/>
                <c:pt idx="0">
                  <c:v>752.98</c:v>
                </c:pt>
                <c:pt idx="1">
                  <c:v>78.12</c:v>
                </c:pt>
              </c:numCache>
            </c:numRef>
          </c:val>
        </c:ser>
        <c:dLbls>
          <c:showLegendKey val="false"/>
          <c:showVal val="false"/>
          <c:showCatName val="false"/>
          <c:showSerName val="false"/>
          <c:showPercent val="false"/>
          <c:showBubbleSize val="false"/>
          <c:showLeaderLines val="true"/>
        </c:dLbls>
        <c:firstSliceAng val="0"/>
      </c:pieChart>
      <c:spPr>
        <a:solidFill>
          <a:srgbClr val="C0C0C0"/>
        </a:solidFill>
        <a:ln w="12700">
          <a:solidFill>
            <a:srgbClr val="808080"/>
          </a:solidFill>
          <a:prstDash val="solid"/>
        </a:ln>
      </c:spPr>
    </c:plotArea>
    <c:legend>
      <c:legendPos val="r"/>
      <c:layout>
        <c:manualLayout>
          <c:xMode val="edge"/>
          <c:yMode val="edge"/>
          <c:x val="0.713164891511531"/>
          <c:y val="0.364598755864178"/>
          <c:w val="0.244604316546763"/>
          <c:h val="0.192307692307692"/>
        </c:manualLayout>
      </c:layout>
      <c:overlay val="false"/>
      <c:spPr>
        <a:noFill/>
        <a:ln w="3175">
          <a:solidFill>
            <a:srgbClr val="000000"/>
          </a:solidFill>
          <a:prstDash val="solid"/>
        </a:ln>
      </c:spPr>
      <c:txPr>
        <a:bodyPr rot="0" spcFirstLastPara="0" vertOverflow="ellipsis" vert="horz" wrap="square" anchor="ctr" anchorCtr="true"/>
        <a:lstStyle/>
        <a:p>
          <a:pPr>
            <a:defRPr lang="zh-CN" sz="825" b="0" i="0" u="none" strike="noStrike" kern="1200" baseline="0">
              <a:solidFill>
                <a:srgbClr val="000000"/>
              </a:solidFill>
              <a:latin typeface="宋体" charset="-122"/>
              <a:ea typeface="宋体" charset="-122"/>
              <a:cs typeface="宋体" charset="-122"/>
            </a:defRPr>
          </a:pPr>
        </a:p>
      </c:txPr>
    </c:legend>
    <c:plotVisOnly val="true"/>
    <c:dispBlanksAs val="zero"/>
    <c:showDLblsOverMax val="false"/>
  </c:chart>
  <c:spPr>
    <a:noFill/>
    <a:ln w="9525" cap="flat" cmpd="sng" algn="ctr">
      <a:noFill/>
      <a:prstDash val="solid"/>
      <a:round/>
    </a:ln>
  </c:spPr>
  <c:txPr>
    <a:bodyPr/>
    <a:lstStyle/>
    <a:p>
      <a:pPr>
        <a:defRPr lang="zh-CN" sz="900" b="0" i="0" u="none" strike="noStrike" baseline="0">
          <a:solidFill>
            <a:srgbClr val="000000"/>
          </a:solidFill>
          <a:latin typeface="宋体" charset="-122"/>
          <a:ea typeface="宋体" charset="-122"/>
          <a:cs typeface="宋体" charset="-122"/>
        </a:defRPr>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Sheet1!$B$1</c:f>
              <c:strCache>
                <c:ptCount val="1"/>
                <c:pt idx="0">
                  <c:v>2021</c:v>
                </c:pt>
              </c:strCache>
            </c:strRef>
          </c:tx>
          <c:invertIfNegative val="false"/>
          <c:dLbls>
            <c:delete val="true"/>
          </c:dLbls>
          <c:cat>
            <c:strRef>
              <c:f>Sheet1!$A$2:$A$3</c:f>
              <c:strCache>
                <c:ptCount val="2"/>
                <c:pt idx="0">
                  <c:v>收入总计</c:v>
                </c:pt>
                <c:pt idx="1">
                  <c:v>支出总计</c:v>
                </c:pt>
              </c:strCache>
            </c:strRef>
          </c:cat>
          <c:val>
            <c:numRef>
              <c:f>Sheet1!$B$2:$B$3</c:f>
              <c:numCache>
                <c:formatCode>General</c:formatCode>
                <c:ptCount val="2"/>
                <c:pt idx="0">
                  <c:v>818.47</c:v>
                </c:pt>
                <c:pt idx="1">
                  <c:v>827.24</c:v>
                </c:pt>
              </c:numCache>
            </c:numRef>
          </c:val>
        </c:ser>
        <c:ser>
          <c:idx val="1"/>
          <c:order val="1"/>
          <c:tx>
            <c:strRef>
              <c:f>Sheet1!$C$1</c:f>
              <c:strCache>
                <c:ptCount val="1"/>
                <c:pt idx="0">
                  <c:v>2022</c:v>
                </c:pt>
              </c:strCache>
            </c:strRef>
          </c:tx>
          <c:invertIfNegative val="false"/>
          <c:dLbls>
            <c:delete val="true"/>
          </c:dLbls>
          <c:cat>
            <c:strRef>
              <c:f>Sheet1!$A$2:$A$3</c:f>
              <c:strCache>
                <c:ptCount val="2"/>
                <c:pt idx="0">
                  <c:v>收入总计</c:v>
                </c:pt>
                <c:pt idx="1">
                  <c:v>支出总计</c:v>
                </c:pt>
              </c:strCache>
            </c:strRef>
          </c:cat>
          <c:val>
            <c:numRef>
              <c:f>Sheet1!$C$2:$C$3</c:f>
              <c:numCache>
                <c:formatCode>General</c:formatCode>
                <c:ptCount val="2"/>
                <c:pt idx="0">
                  <c:v>831.09</c:v>
                </c:pt>
                <c:pt idx="1">
                  <c:v>831.09</c:v>
                </c:pt>
              </c:numCache>
            </c:numRef>
          </c:val>
        </c:ser>
        <c:dLbls>
          <c:showLegendKey val="false"/>
          <c:showVal val="false"/>
          <c:showCatName val="false"/>
          <c:showSerName val="false"/>
          <c:showPercent val="false"/>
          <c:showBubbleSize val="false"/>
        </c:dLbls>
        <c:gapWidth val="150"/>
        <c:axId val="118195328"/>
        <c:axId val="118196864"/>
      </c:barChart>
      <c:catAx>
        <c:axId val="118195328"/>
        <c:scaling>
          <c:orientation val="minMax"/>
        </c:scaling>
        <c:delete val="false"/>
        <c:axPos val="b"/>
        <c:numFmt formatCode="General" sourceLinked="fals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18196864"/>
        <c:crosses val="autoZero"/>
        <c:auto val="true"/>
        <c:lblAlgn val="ctr"/>
        <c:lblOffset val="100"/>
        <c:noMultiLvlLbl val="false"/>
      </c:catAx>
      <c:valAx>
        <c:axId val="118196864"/>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18195328"/>
        <c:crosses val="autoZero"/>
        <c:crossBetween val="between"/>
      </c:valAx>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719125357557256"/>
          <c:y val="0.0326620766607073"/>
          <c:w val="0.503597122302158"/>
          <c:h val="0.763736263736264"/>
        </c:manualLayout>
      </c:layout>
      <c:barChart>
        <c:barDir val="col"/>
        <c:grouping val="clustered"/>
        <c:varyColors val="false"/>
        <c:ser>
          <c:idx val="2"/>
          <c:order val="0"/>
          <c:tx>
            <c:strRef>
              <c:f>Sheet1!$A$2</c:f>
              <c:strCache>
                <c:ptCount val="1"/>
                <c:pt idx="0">
                  <c:v>一般公共预算财政拨款支出</c:v>
                </c:pt>
              </c:strCache>
            </c:strRef>
          </c:tx>
          <c:spPr>
            <a:solidFill>
              <a:srgbClr val="FFFFCC"/>
            </a:solidFill>
            <a:ln w="12700">
              <a:solidFill>
                <a:srgbClr val="000000"/>
              </a:solidFill>
              <a:prstDash val="solid"/>
            </a:ln>
          </c:spPr>
          <c:invertIfNegative val="false"/>
          <c:dLbls>
            <c:delete val="true"/>
          </c:dLbls>
          <c:cat>
            <c:strRef>
              <c:f>Sheet1!$B$1:$C$1</c:f>
              <c:strCache>
                <c:ptCount val="2"/>
                <c:pt idx="0">
                  <c:v>2021年</c:v>
                </c:pt>
                <c:pt idx="1">
                  <c:v>2022年</c:v>
                </c:pt>
              </c:strCache>
            </c:strRef>
          </c:cat>
          <c:val>
            <c:numRef>
              <c:f>Sheet1!$B$2:$C$2</c:f>
              <c:numCache>
                <c:formatCode>General</c:formatCode>
                <c:ptCount val="2"/>
                <c:pt idx="0">
                  <c:v>818.47</c:v>
                </c:pt>
                <c:pt idx="1">
                  <c:v>827.98</c:v>
                </c:pt>
              </c:numCache>
            </c:numRef>
          </c:val>
        </c:ser>
        <c:dLbls>
          <c:showLegendKey val="false"/>
          <c:showVal val="false"/>
          <c:showCatName val="false"/>
          <c:showSerName val="false"/>
          <c:showPercent val="false"/>
          <c:showBubbleSize val="false"/>
        </c:dLbls>
        <c:gapWidth val="150"/>
        <c:axId val="344560000"/>
        <c:axId val="344562304"/>
      </c:barChart>
      <c:catAx>
        <c:axId val="344560000"/>
        <c:scaling>
          <c:orientation val="minMax"/>
        </c:scaling>
        <c:delete val="false"/>
        <c:axPos val="b"/>
        <c:numFmt formatCode="General" sourceLinked="true"/>
        <c:majorTickMark val="in"/>
        <c:minorTickMark val="none"/>
        <c:tickLblPos val="low"/>
        <c:spPr>
          <a:ln w="3175" cap="flat" cmpd="sng" algn="ctr">
            <a:solidFill>
              <a:srgbClr val="000000"/>
            </a:solidFill>
            <a:prstDash val="solid"/>
            <a:round/>
          </a:ln>
        </c:spPr>
        <c:txPr>
          <a:bodyPr rot="0" spcFirstLastPara="0" vertOverflow="ellipsis" vert="horz" wrap="square" anchor="ctr" anchorCtr="true"/>
          <a:lstStyle/>
          <a:p>
            <a:pPr>
              <a:defRPr lang="zh-CN" sz="900" b="0" i="0" u="none" strike="noStrike" kern="1200" baseline="0">
                <a:solidFill>
                  <a:srgbClr val="000000"/>
                </a:solidFill>
                <a:latin typeface="宋体" charset="-122"/>
                <a:ea typeface="宋体" charset="-122"/>
                <a:cs typeface="宋体" charset="-122"/>
              </a:defRPr>
            </a:pPr>
          </a:p>
        </c:txPr>
        <c:crossAx val="344562304"/>
        <c:crosses val="autoZero"/>
        <c:auto val="true"/>
        <c:lblAlgn val="ctr"/>
        <c:lblOffset val="100"/>
        <c:tickLblSkip val="1"/>
        <c:noMultiLvlLbl val="false"/>
      </c:catAx>
      <c:valAx>
        <c:axId val="344562304"/>
        <c:scaling>
          <c:orientation val="minMax"/>
        </c:scaling>
        <c:delete val="false"/>
        <c:axPos val="l"/>
        <c:majorGridlines>
          <c:spPr>
            <a:ln w="3175" cap="flat" cmpd="sng" algn="ctr">
              <a:solidFill>
                <a:srgbClr val="000000"/>
              </a:solidFill>
              <a:prstDash val="solid"/>
              <a:round/>
            </a:ln>
          </c:spPr>
        </c:majorGridlines>
        <c:numFmt formatCode="General" sourceLinked="true"/>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true"/>
          <a:lstStyle/>
          <a:p>
            <a:pPr>
              <a:defRPr lang="zh-CN" sz="900" b="0" i="0" u="none" strike="noStrike" kern="1200" baseline="0">
                <a:solidFill>
                  <a:srgbClr val="000000"/>
                </a:solidFill>
                <a:latin typeface="宋体" charset="-122"/>
                <a:ea typeface="宋体" charset="-122"/>
                <a:cs typeface="宋体" charset="-122"/>
              </a:defRPr>
            </a:pPr>
          </a:p>
        </c:txPr>
        <c:crossAx val="344560000"/>
        <c:crosses val="autoZero"/>
        <c:crossBetween val="between"/>
      </c:valAx>
      <c:spPr>
        <a:solidFill>
          <a:srgbClr val="C0C0C0"/>
        </a:solidFill>
        <a:ln w="12700">
          <a:solidFill>
            <a:srgbClr val="808080"/>
          </a:solidFill>
          <a:prstDash val="solid"/>
        </a:ln>
        <a:effectLst/>
      </c:spPr>
    </c:plotArea>
    <c:legend>
      <c:legendPos val="r"/>
      <c:layout>
        <c:manualLayout>
          <c:xMode val="edge"/>
          <c:yMode val="edge"/>
          <c:x val="0.622840230077623"/>
          <c:y val="0.414342120278443"/>
          <c:w val="0.330935251798561"/>
          <c:h val="0.175824175824176"/>
        </c:manualLayout>
      </c:layout>
      <c:overlay val="false"/>
      <c:spPr>
        <a:noFill/>
        <a:ln w="3175">
          <a:solidFill>
            <a:srgbClr val="000000"/>
          </a:solidFill>
          <a:prstDash val="solid"/>
        </a:ln>
      </c:spPr>
      <c:txPr>
        <a:bodyPr rot="0" spcFirstLastPara="0" vertOverflow="ellipsis" vert="horz" wrap="square" anchor="ctr" anchorCtr="true"/>
        <a:lstStyle/>
        <a:p>
          <a:pPr>
            <a:defRPr lang="zh-CN" sz="825" b="0" i="0" u="none" strike="noStrike" kern="1200" baseline="0">
              <a:solidFill>
                <a:srgbClr val="000000"/>
              </a:solidFill>
              <a:latin typeface="宋体" charset="-122"/>
              <a:ea typeface="宋体" charset="-122"/>
              <a:cs typeface="宋体" charset="-122"/>
            </a:defRPr>
          </a:pPr>
        </a:p>
      </c:txPr>
    </c:legend>
    <c:plotVisOnly val="true"/>
    <c:dispBlanksAs val="gap"/>
    <c:showDLblsOverMax val="false"/>
  </c:chart>
  <c:spPr>
    <a:noFill/>
    <a:ln w="9525" cap="flat" cmpd="sng" algn="ctr">
      <a:noFill/>
      <a:prstDash val="solid"/>
      <a:round/>
    </a:ln>
  </c:spPr>
  <c:txPr>
    <a:bodyPr/>
    <a:lstStyle/>
    <a:p>
      <a:pPr>
        <a:defRPr lang="zh-CN" sz="900" b="0" i="0" u="none" strike="noStrike" baseline="0">
          <a:solidFill>
            <a:srgbClr val="000000"/>
          </a:solidFill>
          <a:latin typeface="宋体" charset="-122"/>
          <a:ea typeface="宋体" charset="-122"/>
          <a:cs typeface="宋体" charset="-122"/>
        </a:defRPr>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751525321629878"/>
          <c:y val="0.109420384951881"/>
          <c:w val="0.507194244604317"/>
          <c:h val="0.774725274725275"/>
        </c:manualLayout>
      </c:layout>
      <c:pieChart>
        <c:varyColors val="true"/>
        <c:ser>
          <c:idx val="0"/>
          <c:order val="0"/>
          <c:tx>
            <c:strRef>
              <c:f>Sheet1!$A$2</c:f>
              <c:strCache>
                <c:ptCount val="1"/>
                <c:pt idx="0">
                  <c:v>一般公共预算财政拨款</c:v>
                </c:pt>
              </c:strCache>
            </c:strRef>
          </c:tx>
          <c:spPr>
            <a:solidFill>
              <a:srgbClr val="9999FF"/>
            </a:solidFill>
            <a:ln w="12700">
              <a:solidFill>
                <a:srgbClr val="000000"/>
              </a:solidFill>
              <a:prstDash val="solid"/>
            </a:ln>
          </c:spPr>
          <c:explosion val="17"/>
          <c:dPt>
            <c:idx val="0"/>
            <c:bubble3D val="false"/>
            <c:spPr>
              <a:solidFill>
                <a:srgbClr val="9999FF"/>
              </a:solidFill>
              <a:ln w="12700">
                <a:solidFill>
                  <a:srgbClr val="000000"/>
                </a:solidFill>
                <a:prstDash val="solid"/>
              </a:ln>
            </c:spPr>
          </c:dPt>
          <c:dPt>
            <c:idx val="1"/>
            <c:bubble3D val="false"/>
            <c:spPr>
              <a:solidFill>
                <a:srgbClr val="993366"/>
              </a:solidFill>
              <a:ln w="12700">
                <a:solidFill>
                  <a:srgbClr val="000000"/>
                </a:solidFill>
                <a:prstDash val="solid"/>
              </a:ln>
            </c:spPr>
          </c:dPt>
          <c:dPt>
            <c:idx val="2"/>
            <c:bubble3D val="false"/>
            <c:spPr>
              <a:solidFill>
                <a:srgbClr val="FFFFCC"/>
              </a:solidFill>
              <a:ln w="12700">
                <a:solidFill>
                  <a:srgbClr val="000000"/>
                </a:solidFill>
                <a:prstDash val="solid"/>
              </a:ln>
            </c:spPr>
          </c:dPt>
          <c:dPt>
            <c:idx val="3"/>
            <c:bubble3D val="false"/>
            <c:spPr>
              <a:solidFill>
                <a:srgbClr val="CCFFFF"/>
              </a:solidFill>
              <a:ln w="12700">
                <a:solidFill>
                  <a:srgbClr val="000000"/>
                </a:solidFill>
                <a:prstDash val="solid"/>
              </a:ln>
            </c:spPr>
          </c:dPt>
          <c:dLbls>
            <c:delete val="true"/>
          </c:dLbls>
          <c:cat>
            <c:strRef>
              <c:f>Sheet1!$B$1:$E$1</c:f>
              <c:strCache>
                <c:ptCount val="4"/>
                <c:pt idx="0">
                  <c:v>一般公共服务支出</c:v>
                </c:pt>
                <c:pt idx="1">
                  <c:v>住房保障支出</c:v>
                </c:pt>
                <c:pt idx="2">
                  <c:v>卫生健康支出</c:v>
                </c:pt>
                <c:pt idx="3">
                  <c:v>社会保障和就业支出</c:v>
                </c:pt>
              </c:strCache>
            </c:strRef>
          </c:cat>
          <c:val>
            <c:numRef>
              <c:f>Sheet1!$B$2:$E$2</c:f>
              <c:numCache>
                <c:formatCode>General</c:formatCode>
                <c:ptCount val="4"/>
                <c:pt idx="0">
                  <c:v>626.05</c:v>
                </c:pt>
                <c:pt idx="1">
                  <c:v>52.75</c:v>
                </c:pt>
                <c:pt idx="2">
                  <c:v>0.36</c:v>
                </c:pt>
                <c:pt idx="3">
                  <c:v>148.82</c:v>
                </c:pt>
              </c:numCache>
            </c:numRef>
          </c:val>
        </c:ser>
        <c:dLbls>
          <c:showLegendKey val="false"/>
          <c:showVal val="false"/>
          <c:showCatName val="false"/>
          <c:showSerName val="false"/>
          <c:showPercent val="false"/>
          <c:showBubbleSize val="false"/>
          <c:showLeaderLines val="true"/>
        </c:dLbls>
        <c:firstSliceAng val="0"/>
      </c:pieChart>
      <c:spPr>
        <a:solidFill>
          <a:srgbClr val="C0C0C0"/>
        </a:solidFill>
        <a:ln w="12700">
          <a:solidFill>
            <a:srgbClr val="808080"/>
          </a:solidFill>
          <a:prstDash val="solid"/>
        </a:ln>
      </c:spPr>
    </c:plotArea>
    <c:legend>
      <c:legendPos val="r"/>
      <c:layout>
        <c:manualLayout>
          <c:xMode val="edge"/>
          <c:yMode val="edge"/>
          <c:x val="0.63607257539674"/>
          <c:y val="0.131474101451604"/>
          <c:w val="0.330935251798561"/>
          <c:h val="0.686813186813187"/>
        </c:manualLayout>
      </c:layout>
      <c:overlay val="false"/>
      <c:spPr>
        <a:noFill/>
        <a:ln w="3175">
          <a:solidFill>
            <a:srgbClr val="000000"/>
          </a:solidFill>
          <a:prstDash val="solid"/>
        </a:ln>
      </c:spPr>
      <c:txPr>
        <a:bodyPr rot="0" spcFirstLastPara="0" vertOverflow="ellipsis" vert="horz" wrap="square" anchor="ctr" anchorCtr="true"/>
        <a:lstStyle/>
        <a:p>
          <a:pPr>
            <a:defRPr lang="zh-CN" sz="825" b="0" i="0" u="none" strike="noStrike" kern="1200" baseline="0">
              <a:solidFill>
                <a:srgbClr val="000000"/>
              </a:solidFill>
              <a:latin typeface="宋体" charset="-122"/>
              <a:ea typeface="宋体" charset="-122"/>
              <a:cs typeface="宋体" charset="-122"/>
            </a:defRPr>
          </a:pPr>
        </a:p>
      </c:txPr>
    </c:legend>
    <c:plotVisOnly val="true"/>
    <c:dispBlanksAs val="zero"/>
    <c:showDLblsOverMax val="false"/>
  </c:chart>
  <c:spPr>
    <a:noFill/>
    <a:ln w="9525" cap="flat" cmpd="sng" algn="ctr">
      <a:noFill/>
      <a:prstDash val="solid"/>
      <a:round/>
    </a:ln>
  </c:spPr>
  <c:txPr>
    <a:bodyPr/>
    <a:lstStyle/>
    <a:p>
      <a:pPr>
        <a:defRPr lang="zh-CN" sz="900" b="0" i="0" u="none" strike="noStrike" baseline="0">
          <a:solidFill>
            <a:srgbClr val="000000"/>
          </a:solidFill>
          <a:latin typeface="宋体" charset="-122"/>
          <a:ea typeface="宋体" charset="-122"/>
          <a:cs typeface="宋体" charset="-122"/>
        </a:defRPr>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37940379403794"/>
          <c:y val="0.106796116504854"/>
          <c:w val="0.558265582655827"/>
          <c:h val="0.796116504854369"/>
        </c:manualLayout>
      </c:layout>
      <c:pieChart>
        <c:varyColors val="true"/>
        <c:ser>
          <c:idx val="0"/>
          <c:order val="0"/>
          <c:tx>
            <c:strRef>
              <c:f>Sheet1!$A$2</c:f>
              <c:strCache>
                <c:ptCount val="1"/>
                <c:pt idx="0">
                  <c:v>三公经费财政拨款支出</c:v>
                </c:pt>
              </c:strCache>
            </c:strRef>
          </c:tx>
          <c:spPr>
            <a:solidFill>
              <a:srgbClr val="9999FF"/>
            </a:solidFill>
            <a:ln w="9551">
              <a:solidFill>
                <a:srgbClr val="000000"/>
              </a:solidFill>
              <a:prstDash val="solid"/>
            </a:ln>
          </c:spPr>
          <c:explosion val="25"/>
          <c:dPt>
            <c:idx val="0"/>
            <c:bubble3D val="false"/>
            <c:spPr>
              <a:solidFill>
                <a:srgbClr val="9999FF"/>
              </a:solidFill>
              <a:ln w="9551">
                <a:solidFill>
                  <a:srgbClr val="000000"/>
                </a:solidFill>
                <a:prstDash val="solid"/>
              </a:ln>
            </c:spPr>
          </c:dPt>
          <c:dPt>
            <c:idx val="1"/>
            <c:bubble3D val="false"/>
            <c:spPr>
              <a:solidFill>
                <a:srgbClr val="993366"/>
              </a:solidFill>
              <a:ln w="9551">
                <a:solidFill>
                  <a:srgbClr val="000000"/>
                </a:solidFill>
                <a:prstDash val="solid"/>
              </a:ln>
            </c:spPr>
          </c:dPt>
          <c:dPt>
            <c:idx val="2"/>
            <c:bubble3D val="false"/>
            <c:spPr>
              <a:solidFill>
                <a:srgbClr val="FFFFCC"/>
              </a:solidFill>
              <a:ln w="9551">
                <a:solidFill>
                  <a:srgbClr val="000000"/>
                </a:solidFill>
                <a:prstDash val="solid"/>
              </a:ln>
            </c:spPr>
          </c:dPt>
          <c:dLbls>
            <c:delete val="true"/>
          </c:dLbls>
          <c:cat>
            <c:strRef>
              <c:f>Sheet1!$B$1:$D$1</c:f>
              <c:strCache>
                <c:ptCount val="3"/>
                <c:pt idx="0">
                  <c:v>因公出国（境）费支出</c:v>
                </c:pt>
                <c:pt idx="1">
                  <c:v>公务用车购置及运行维护费</c:v>
                </c:pt>
                <c:pt idx="2">
                  <c:v>公务接待费</c:v>
                </c:pt>
              </c:strCache>
            </c:strRef>
          </c:cat>
          <c:val>
            <c:numRef>
              <c:f>Sheet1!$B$2:$D$2</c:f>
              <c:numCache>
                <c:formatCode>General</c:formatCode>
                <c:ptCount val="3"/>
                <c:pt idx="1">
                  <c:v>0.38</c:v>
                </c:pt>
                <c:pt idx="2">
                  <c:v>0.58</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r"/>
      <c:legendEntry>
        <c:idx val="0"/>
        <c:txPr>
          <a:bodyPr rot="0" spcFirstLastPara="0" vertOverflow="ellipsis" vert="horz" wrap="square" anchor="ctr" anchorCtr="true"/>
          <a:lstStyle/>
          <a:p>
            <a:pPr>
              <a:defRPr lang="zh-CN" sz="800" b="0" i="0" u="none" strike="noStrike" kern="1200" baseline="0">
                <a:solidFill>
                  <a:srgbClr val="000000"/>
                </a:solidFill>
                <a:latin typeface="宋体" charset="-122"/>
                <a:ea typeface="宋体" charset="-122"/>
                <a:cs typeface="宋体" charset="-122"/>
              </a:defRPr>
            </a:pPr>
          </a:p>
        </c:txPr>
      </c:legendEntry>
      <c:legendEntry>
        <c:idx val="1"/>
        <c:txPr>
          <a:bodyPr rot="0" spcFirstLastPara="0" vertOverflow="ellipsis" vert="horz" wrap="square" anchor="ctr" anchorCtr="true"/>
          <a:lstStyle/>
          <a:p>
            <a:pPr>
              <a:defRPr lang="zh-CN" sz="800" b="0" i="0" u="none" strike="noStrike" kern="1200" baseline="0">
                <a:solidFill>
                  <a:srgbClr val="000000"/>
                </a:solidFill>
                <a:latin typeface="宋体" charset="-122"/>
                <a:ea typeface="宋体" charset="-122"/>
                <a:cs typeface="宋体" charset="-122"/>
              </a:defRPr>
            </a:pPr>
          </a:p>
        </c:txPr>
      </c:legendEntry>
      <c:legendEntry>
        <c:idx val="2"/>
        <c:txPr>
          <a:bodyPr rot="0" spcFirstLastPara="0" vertOverflow="ellipsis" vert="horz" wrap="square" anchor="ctr" anchorCtr="true"/>
          <a:lstStyle/>
          <a:p>
            <a:pPr>
              <a:defRPr lang="zh-CN" sz="900" b="0" i="0" u="none" strike="noStrike" kern="1200" baseline="0">
                <a:solidFill>
                  <a:srgbClr val="000000"/>
                </a:solidFill>
                <a:latin typeface="宋体" charset="-122"/>
                <a:ea typeface="宋体" charset="-122"/>
                <a:cs typeface="宋体" charset="-122"/>
              </a:defRPr>
            </a:pPr>
          </a:p>
        </c:txPr>
      </c:legendEntry>
      <c:layout>
        <c:manualLayout>
          <c:xMode val="edge"/>
          <c:yMode val="edge"/>
          <c:x val="0.633767726839586"/>
          <c:y val="0.10040082454337"/>
          <c:w val="0.322493224932249"/>
          <c:h val="0.640776699029126"/>
        </c:manualLayout>
      </c:layout>
      <c:overlay val="false"/>
      <c:spPr>
        <a:noFill/>
        <a:ln w="2388">
          <a:solidFill>
            <a:srgbClr val="000000"/>
          </a:solidFill>
          <a:prstDash val="solid"/>
        </a:ln>
      </c:spPr>
      <c:txPr>
        <a:bodyPr rot="0" spcFirstLastPara="0" vertOverflow="ellipsis" vert="horz" wrap="square" anchor="ctr" anchorCtr="true"/>
        <a:lstStyle/>
        <a:p>
          <a:pPr>
            <a:defRPr lang="zh-CN" sz="380" b="0" i="0" u="none" strike="noStrike" kern="1200" baseline="0">
              <a:solidFill>
                <a:srgbClr val="000000"/>
              </a:solidFill>
              <a:latin typeface="宋体" charset="-122"/>
              <a:ea typeface="宋体" charset="-122"/>
              <a:cs typeface="宋体" charset="-122"/>
            </a:defRPr>
          </a:pPr>
        </a:p>
      </c:txPr>
    </c:legend>
    <c:plotVisOnly val="true"/>
    <c:dispBlanksAs val="zero"/>
    <c:showDLblsOverMax val="false"/>
  </c:chart>
  <c:spPr>
    <a:noFill/>
    <a:ln w="9525" cap="flat" cmpd="sng" algn="ctr">
      <a:noFill/>
      <a:prstDash val="solid"/>
      <a:round/>
    </a:ln>
  </c:spPr>
  <c:txPr>
    <a:bodyPr/>
    <a:lstStyle/>
    <a:p>
      <a:pPr>
        <a:defRPr lang="zh-CN" sz="375" b="0" i="0" u="none" strike="noStrike" baseline="0">
          <a:solidFill>
            <a:srgbClr val="000000"/>
          </a:solidFill>
          <a:latin typeface="宋体" charset="-122"/>
          <a:ea typeface="宋体" charset="-122"/>
          <a:cs typeface="宋体" charset="-122"/>
        </a:defRPr>
      </a:pPr>
    </a:p>
  </c:txPr>
  <c:externalData r:id="rId1">
    <c:autoUpdate val="false"/>
  </c:externalData>
</c:chartSpac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fda5e44-3992-43bf-b42c-17038944b8fe}"/>
        <w:style w:val=""/>
        <w:category>
          <w:name w:val="常规"/>
          <w:gallery w:val="placeholder"/>
        </w:category>
        <w:types>
          <w:type w:val="bbPlcHdr"/>
        </w:types>
        <w:behaviors>
          <w:behavior w:val="content"/>
        </w:behaviors>
        <w:description w:val=""/>
        <w:guid w:val="{FFDA5E44-3992-43BF-B42C-17038944B8FE}"/>
      </w:docPartPr>
      <w:docPartBody>
        <w:p>
          <w:r>
            <w:rPr>
              <w:color w:val="808080"/>
            </w:rPr>
            <w:t>单击此处输入文字。</w:t>
          </w:r>
        </w:p>
      </w:docPartBody>
    </w:docPart>
    <w:docPart>
      <w:docPartPr>
        <w:name w:val="{a92cde48-563a-448e-8f69-939549024af0}"/>
        <w:style w:val=""/>
        <w:category>
          <w:name w:val="常规"/>
          <w:gallery w:val="placeholder"/>
        </w:category>
        <w:types>
          <w:type w:val="bbPlcHdr"/>
        </w:types>
        <w:behaviors>
          <w:behavior w:val="content"/>
        </w:behaviors>
        <w:description w:val=""/>
        <w:guid w:val="{A92CDE48-563A-448E-8F69-939549024AF0}"/>
      </w:docPartPr>
      <w:docPartBody>
        <w:p>
          <w:r>
            <w:rPr>
              <w:color w:val="808080"/>
            </w:rPr>
            <w:t>单击此处输入文字。</w:t>
          </w:r>
        </w:p>
      </w:docPartBody>
    </w:docPart>
    <w:docPart>
      <w:docPartPr>
        <w:name w:val="{01aa7d81-4588-47ca-9c38-861958d047e1}"/>
        <w:style w:val=""/>
        <w:category>
          <w:name w:val="常规"/>
          <w:gallery w:val="placeholder"/>
        </w:category>
        <w:types>
          <w:type w:val="bbPlcHdr"/>
        </w:types>
        <w:behaviors>
          <w:behavior w:val="content"/>
        </w:behaviors>
        <w:description w:val=""/>
        <w:guid w:val="{01AA7D81-4588-47CA-9C38-861958D047E1}"/>
      </w:docPartPr>
      <w:docPartBody>
        <w:p>
          <w:r>
            <w:rPr>
              <w:color w:val="808080"/>
            </w:rPr>
            <w:t>单击此处输入文字。</w:t>
          </w:r>
        </w:p>
      </w:docPartBody>
    </w:docPart>
    <w:docPart>
      <w:docPartPr>
        <w:name w:val="{bf494120-cb30-496a-b086-a77e5ebd820a}"/>
        <w:style w:val=""/>
        <w:category>
          <w:name w:val="常规"/>
          <w:gallery w:val="placeholder"/>
        </w:category>
        <w:types>
          <w:type w:val="bbPlcHdr"/>
        </w:types>
        <w:behaviors>
          <w:behavior w:val="content"/>
        </w:behaviors>
        <w:description w:val=""/>
        <w:guid w:val="{BF494120-CB30-496A-B086-A77E5EBD820A}"/>
      </w:docPartPr>
      <w:docPartBody>
        <w:p>
          <w:r>
            <w:rPr>
              <w:color w:val="808080"/>
            </w:rPr>
            <w:t>单击此处输入文字。</w:t>
          </w:r>
        </w:p>
      </w:docPartBody>
    </w:docPart>
    <w:docPart>
      <w:docPartPr>
        <w:name w:val="{06b27bab-e308-4f4b-9246-fbdacdaf214e}"/>
        <w:style w:val=""/>
        <w:category>
          <w:name w:val="常规"/>
          <w:gallery w:val="placeholder"/>
        </w:category>
        <w:types>
          <w:type w:val="bbPlcHdr"/>
        </w:types>
        <w:behaviors>
          <w:behavior w:val="content"/>
        </w:behaviors>
        <w:description w:val=""/>
        <w:guid w:val="{06B27BAB-E308-4F4B-9246-FBDACDAF214E}"/>
      </w:docPartPr>
      <w:docPartBody>
        <w:p>
          <w:r>
            <w:rPr>
              <w:color w:val="808080"/>
            </w:rPr>
            <w:t>单击此处输入文字。</w:t>
          </w:r>
        </w:p>
      </w:docPartBody>
    </w:docPart>
    <w:docPart>
      <w:docPartPr>
        <w:name w:val="{e4d0eeb9-9bd9-4a94-8785-7d955a5a3953}"/>
        <w:style w:val=""/>
        <w:category>
          <w:name w:val="常规"/>
          <w:gallery w:val="placeholder"/>
        </w:category>
        <w:types>
          <w:type w:val="bbPlcHdr"/>
        </w:types>
        <w:behaviors>
          <w:behavior w:val="content"/>
        </w:behaviors>
        <w:description w:val=""/>
        <w:guid w:val="{E4D0EEB9-9BD9-4A94-8785-7D955A5A3953}"/>
      </w:docPartPr>
      <w:docPartBody>
        <w:p>
          <w:r>
            <w:rPr>
              <w:color w:val="808080"/>
            </w:rPr>
            <w:t>单击此处输入文字。</w:t>
          </w:r>
        </w:p>
      </w:docPartBody>
    </w:docPart>
    <w:docPart>
      <w:docPartPr>
        <w:name w:val="{6e6f8630-489d-4329-9153-fe37d02b05c1}"/>
        <w:style w:val=""/>
        <w:category>
          <w:name w:val="常规"/>
          <w:gallery w:val="placeholder"/>
        </w:category>
        <w:types>
          <w:type w:val="bbPlcHdr"/>
        </w:types>
        <w:behaviors>
          <w:behavior w:val="content"/>
        </w:behaviors>
        <w:description w:val=""/>
        <w:guid w:val="{6E6F8630-489D-4329-9153-FE37D02B05C1}"/>
      </w:docPartPr>
      <w:docPartBody>
        <w:p>
          <w:r>
            <w:rPr>
              <w:color w:val="808080"/>
            </w:rPr>
            <w:t>单击此处输入文字。</w:t>
          </w:r>
        </w:p>
      </w:docPartBody>
    </w:docPart>
    <w:docPart>
      <w:docPartPr>
        <w:name w:val="{bc2f6235-f23b-460c-a82f-e7f7c34659f5}"/>
        <w:style w:val=""/>
        <w:category>
          <w:name w:val="常规"/>
          <w:gallery w:val="placeholder"/>
        </w:category>
        <w:types>
          <w:type w:val="bbPlcHdr"/>
        </w:types>
        <w:behaviors>
          <w:behavior w:val="content"/>
        </w:behaviors>
        <w:description w:val=""/>
        <w:guid w:val="{BC2F6235-F23B-460C-A82F-E7F7C34659F5}"/>
      </w:docPartPr>
      <w:docPartBody>
        <w:p>
          <w:r>
            <w:rPr>
              <w:color w:val="808080"/>
            </w:rPr>
            <w:t>单击此处输入文字。</w:t>
          </w:r>
        </w:p>
      </w:docPartBody>
    </w:docPart>
    <w:docPart>
      <w:docPartPr>
        <w:name w:val="{97956fa0-d6ea-4b82-806a-991cdf70cfc4}"/>
        <w:style w:val=""/>
        <w:category>
          <w:name w:val="常规"/>
          <w:gallery w:val="placeholder"/>
        </w:category>
        <w:types>
          <w:type w:val="bbPlcHdr"/>
        </w:types>
        <w:behaviors>
          <w:behavior w:val="content"/>
        </w:behaviors>
        <w:description w:val=""/>
        <w:guid w:val="{97956FA0-D6EA-4B82-806A-991CDF70CFC4}"/>
      </w:docPartPr>
      <w:docPartBody>
        <w:p>
          <w:r>
            <w:rPr>
              <w:color w:val="808080"/>
            </w:rPr>
            <w:t>单击此处输入文字。</w:t>
          </w:r>
        </w:p>
      </w:docPartBody>
    </w:docPart>
    <w:docPart>
      <w:docPartPr>
        <w:name w:val="{fa115ea5-007e-47c4-8f81-a98037c1b56a}"/>
        <w:style w:val=""/>
        <w:category>
          <w:name w:val="常规"/>
          <w:gallery w:val="placeholder"/>
        </w:category>
        <w:types>
          <w:type w:val="bbPlcHdr"/>
        </w:types>
        <w:behaviors>
          <w:behavior w:val="content"/>
        </w:behaviors>
        <w:description w:val=""/>
        <w:guid w:val="{FA115EA5-007E-47C4-8F81-A98037C1B56A}"/>
      </w:docPartPr>
      <w:docPartBody>
        <w:p>
          <w:r>
            <w:rPr>
              <w:color w:val="808080"/>
            </w:rPr>
            <w:t>单击此处输入文字。</w:t>
          </w:r>
        </w:p>
      </w:docPartBody>
    </w:docPart>
    <w:docPart>
      <w:docPartPr>
        <w:name w:val="{9fb39441-f1ef-4473-941a-27860454ebb1}"/>
        <w:style w:val=""/>
        <w:category>
          <w:name w:val="常规"/>
          <w:gallery w:val="placeholder"/>
        </w:category>
        <w:types>
          <w:type w:val="bbPlcHdr"/>
        </w:types>
        <w:behaviors>
          <w:behavior w:val="content"/>
        </w:behaviors>
        <w:description w:val=""/>
        <w:guid w:val="{9FB39441-F1EF-4473-941A-27860454EBB1}"/>
      </w:docPartPr>
      <w:docPartBody>
        <w:p>
          <w:r>
            <w:rPr>
              <w:color w:val="808080"/>
            </w:rPr>
            <w:t>单击此处输入文字。</w:t>
          </w:r>
        </w:p>
      </w:docPartBody>
    </w:docPart>
    <w:docPart>
      <w:docPartPr>
        <w:name w:val="{e589c023-5b74-43d9-b23f-84661f3a0ff6}"/>
        <w:style w:val=""/>
        <w:category>
          <w:name w:val="常规"/>
          <w:gallery w:val="placeholder"/>
        </w:category>
        <w:types>
          <w:type w:val="bbPlcHdr"/>
        </w:types>
        <w:behaviors>
          <w:behavior w:val="content"/>
        </w:behaviors>
        <w:description w:val=""/>
        <w:guid w:val="{E589C023-5B74-43D9-B23F-84661F3A0FF6}"/>
      </w:docPartPr>
      <w:docPartBody>
        <w:p>
          <w:r>
            <w:rPr>
              <w:color w:val="808080"/>
            </w:rPr>
            <w:t>单击此处输入文字。</w:t>
          </w:r>
        </w:p>
      </w:docPartBody>
    </w:docPart>
    <w:docPart>
      <w:docPartPr>
        <w:name w:val="{fb61dccd-aa86-4fe0-a94d-1d0e1aea74a5}"/>
        <w:style w:val=""/>
        <w:category>
          <w:name w:val="常规"/>
          <w:gallery w:val="placeholder"/>
        </w:category>
        <w:types>
          <w:type w:val="bbPlcHdr"/>
        </w:types>
        <w:behaviors>
          <w:behavior w:val="content"/>
        </w:behaviors>
        <w:description w:val=""/>
        <w:guid w:val="{FB61DCCD-AA86-4FE0-A94D-1D0E1AEA74A5}"/>
      </w:docPartPr>
      <w:docPartBody>
        <w:p>
          <w:r>
            <w:rPr>
              <w:color w:val="808080"/>
            </w:rPr>
            <w:t>单击此处输入文字。</w:t>
          </w:r>
        </w:p>
      </w:docPartBody>
    </w:docPart>
    <w:docPart>
      <w:docPartPr>
        <w:name w:val="{4cb0c0ba-0b10-47a2-94fd-02eaddad67ce}"/>
        <w:style w:val=""/>
        <w:category>
          <w:name w:val="常规"/>
          <w:gallery w:val="placeholder"/>
        </w:category>
        <w:types>
          <w:type w:val="bbPlcHdr"/>
        </w:types>
        <w:behaviors>
          <w:behavior w:val="content"/>
        </w:behaviors>
        <w:description w:val=""/>
        <w:guid w:val="{4CB0C0BA-0B10-47A2-94FD-02EADDAD67CE}"/>
      </w:docPartPr>
      <w:docPartBody>
        <w:p>
          <w:r>
            <w:rPr>
              <w:color w:val="808080"/>
            </w:rPr>
            <w:t>单击此处输入文字。</w:t>
          </w:r>
        </w:p>
      </w:docPartBody>
    </w:docPart>
    <w:docPart>
      <w:docPartPr>
        <w:name w:val="{1a5462fd-8ebb-493e-9485-ce3b5470f23d}"/>
        <w:style w:val=""/>
        <w:category>
          <w:name w:val="常规"/>
          <w:gallery w:val="placeholder"/>
        </w:category>
        <w:types>
          <w:type w:val="bbPlcHdr"/>
        </w:types>
        <w:behaviors>
          <w:behavior w:val="content"/>
        </w:behaviors>
        <w:description w:val=""/>
        <w:guid w:val="{1A5462FD-8EBB-493E-9485-CE3B5470F23D}"/>
      </w:docPartPr>
      <w:docPartBody>
        <w:p>
          <w:r>
            <w:rPr>
              <w:color w:val="808080"/>
            </w:rPr>
            <w:t>单击此处输入文字。</w:t>
          </w:r>
        </w:p>
      </w:docPartBody>
    </w:docPart>
    <w:docPart>
      <w:docPartPr>
        <w:name w:val="{a800e302-2388-4b39-b18f-322932f03aa0}"/>
        <w:style w:val=""/>
        <w:category>
          <w:name w:val="常规"/>
          <w:gallery w:val="placeholder"/>
        </w:category>
        <w:types>
          <w:type w:val="bbPlcHdr"/>
        </w:types>
        <w:behaviors>
          <w:behavior w:val="content"/>
        </w:behaviors>
        <w:description w:val=""/>
        <w:guid w:val="{A800E302-2388-4B39-B18F-322932F03AA0}"/>
      </w:docPartPr>
      <w:docPartBody>
        <w:p>
          <w:r>
            <w:rPr>
              <w:color w:val="808080"/>
            </w:rPr>
            <w:t>单击此处输入文字。</w:t>
          </w:r>
        </w:p>
      </w:docPartBody>
    </w:docPart>
    <w:docPart>
      <w:docPartPr>
        <w:name w:val="{59779b4b-8102-4476-9f7a-42bfbba22249}"/>
        <w:style w:val=""/>
        <w:category>
          <w:name w:val="常规"/>
          <w:gallery w:val="placeholder"/>
        </w:category>
        <w:types>
          <w:type w:val="bbPlcHdr"/>
        </w:types>
        <w:behaviors>
          <w:behavior w:val="content"/>
        </w:behaviors>
        <w:description w:val=""/>
        <w:guid w:val="{59779B4B-8102-4476-9F7A-42BFBBA22249}"/>
      </w:docPartPr>
      <w:docPartBody>
        <w:p>
          <w:r>
            <w:rPr>
              <w:color w:val="808080"/>
            </w:rPr>
            <w:t>单击此处输入文字。</w:t>
          </w:r>
        </w:p>
      </w:docPartBody>
    </w:docPart>
    <w:docPart>
      <w:docPartPr>
        <w:name w:val="{7ca428b9-66da-45df-aa28-979e4d908ee2}"/>
        <w:style w:val=""/>
        <w:category>
          <w:name w:val="常规"/>
          <w:gallery w:val="placeholder"/>
        </w:category>
        <w:types>
          <w:type w:val="bbPlcHdr"/>
        </w:types>
        <w:behaviors>
          <w:behavior w:val="content"/>
        </w:behaviors>
        <w:description w:val=""/>
        <w:guid w:val="{7CA428B9-66DA-45DF-AA28-979E4D908EE2}"/>
      </w:docPartPr>
      <w:docPartBody>
        <w:p>
          <w:r>
            <w:rPr>
              <w:color w:val="808080"/>
            </w:rPr>
            <w:t>单击此处输入文字。</w:t>
          </w:r>
        </w:p>
      </w:docPartBody>
    </w:docPart>
    <w:docPart>
      <w:docPartPr>
        <w:name w:val="{47fefc18-c013-415c-bce9-a58ec20a2031}"/>
        <w:style w:val=""/>
        <w:category>
          <w:name w:val="常规"/>
          <w:gallery w:val="placeholder"/>
        </w:category>
        <w:types>
          <w:type w:val="bbPlcHdr"/>
        </w:types>
        <w:behaviors>
          <w:behavior w:val="content"/>
        </w:behaviors>
        <w:description w:val=""/>
        <w:guid w:val="{47FEFC18-C013-415C-BCE9-A58EC20A2031}"/>
      </w:docPartPr>
      <w:docPartBody>
        <w:p>
          <w:r>
            <w:rPr>
              <w:color w:val="808080"/>
            </w:rPr>
            <w:t>单击此处输入文字。</w:t>
          </w:r>
        </w:p>
      </w:docPartBody>
    </w:docPart>
    <w:docPart>
      <w:docPartPr>
        <w:name w:val="{698d96c8-ecff-4b2f-9d37-c547b4d0c013}"/>
        <w:style w:val=""/>
        <w:category>
          <w:name w:val="常规"/>
          <w:gallery w:val="placeholder"/>
        </w:category>
        <w:types>
          <w:type w:val="bbPlcHdr"/>
        </w:types>
        <w:behaviors>
          <w:behavior w:val="content"/>
        </w:behaviors>
        <w:description w:val=""/>
        <w:guid w:val="{698D96C8-ECFF-4B2F-9D37-C547B4D0C013}"/>
      </w:docPartPr>
      <w:docPartBody>
        <w:p>
          <w:r>
            <w:rPr>
              <w:color w:val="808080"/>
            </w:rPr>
            <w:t>单击此处输入文字。</w:t>
          </w:r>
        </w:p>
      </w:docPartBody>
    </w:docPart>
    <w:docPart>
      <w:docPartPr>
        <w:name w:val="{452f4207-0dd9-4e3b-870d-5bccbbae07d4}"/>
        <w:style w:val=""/>
        <w:category>
          <w:name w:val="常规"/>
          <w:gallery w:val="placeholder"/>
        </w:category>
        <w:types>
          <w:type w:val="bbPlcHdr"/>
        </w:types>
        <w:behaviors>
          <w:behavior w:val="content"/>
        </w:behaviors>
        <w:description w:val=""/>
        <w:guid w:val="{452F4207-0DD9-4E3B-870D-5BCCBBAE07D4}"/>
      </w:docPartPr>
      <w:docPartBody>
        <w:p>
          <w:r>
            <w:rPr>
              <w:color w:val="808080"/>
            </w:rPr>
            <w:t>单击此处输入文字。</w:t>
          </w:r>
        </w:p>
      </w:docPartBody>
    </w:docPart>
    <w:docPart>
      <w:docPartPr>
        <w:name w:val="{b2f76f11-682c-4d96-8886-97a4d241b911}"/>
        <w:style w:val=""/>
        <w:category>
          <w:name w:val="常规"/>
          <w:gallery w:val="placeholder"/>
        </w:category>
        <w:types>
          <w:type w:val="bbPlcHdr"/>
        </w:types>
        <w:behaviors>
          <w:behavior w:val="content"/>
        </w:behaviors>
        <w:description w:val=""/>
        <w:guid w:val="{B2F76F11-682C-4D96-8886-97A4D241B911}"/>
      </w:docPartPr>
      <w:docPartBody>
        <w:p>
          <w:r>
            <w:rPr>
              <w:color w:val="808080"/>
            </w:rPr>
            <w:t>单击此处输入文字。</w:t>
          </w:r>
        </w:p>
      </w:docPartBody>
    </w:docPart>
    <w:docPart>
      <w:docPartPr>
        <w:name w:val="{23d2af1c-2853-49d2-8c97-8c93171d50e6}"/>
        <w:style w:val=""/>
        <w:category>
          <w:name w:val="常规"/>
          <w:gallery w:val="placeholder"/>
        </w:category>
        <w:types>
          <w:type w:val="bbPlcHdr"/>
        </w:types>
        <w:behaviors>
          <w:behavior w:val="content"/>
        </w:behaviors>
        <w:description w:val=""/>
        <w:guid w:val="{23D2AF1C-2853-49D2-8C97-8C93171D50E6}"/>
      </w:docPartPr>
      <w:docPartBody>
        <w:p>
          <w:r>
            <w:rPr>
              <w:color w:val="808080"/>
            </w:rPr>
            <w:t>单击此处输入文字。</w:t>
          </w:r>
        </w:p>
      </w:docPartBody>
    </w:docPart>
    <w:docPart>
      <w:docPartPr>
        <w:name w:val="{0017edb1-b8ab-4daa-885b-6df5013313b3}"/>
        <w:style w:val=""/>
        <w:category>
          <w:name w:val="常规"/>
          <w:gallery w:val="placeholder"/>
        </w:category>
        <w:types>
          <w:type w:val="bbPlcHdr"/>
        </w:types>
        <w:behaviors>
          <w:behavior w:val="content"/>
        </w:behaviors>
        <w:description w:val=""/>
        <w:guid w:val="{0017EDB1-B8AB-4DAA-885B-6DF5013313B3}"/>
      </w:docPartPr>
      <w:docPartBody>
        <w:p>
          <w:r>
            <w:rPr>
              <w:color w:val="808080"/>
            </w:rPr>
            <w:t>单击此处输入文字。</w:t>
          </w:r>
        </w:p>
      </w:docPartBody>
    </w:docPart>
    <w:docPart>
      <w:docPartPr>
        <w:name w:val="{11491416-88c2-437b-a787-eb2ab63e033b}"/>
        <w:style w:val=""/>
        <w:category>
          <w:name w:val="常规"/>
          <w:gallery w:val="placeholder"/>
        </w:category>
        <w:types>
          <w:type w:val="bbPlcHdr"/>
        </w:types>
        <w:behaviors>
          <w:behavior w:val="content"/>
        </w:behaviors>
        <w:description w:val=""/>
        <w:guid w:val="{11491416-88C2-437B-A787-EB2AB63E033B}"/>
      </w:docPartPr>
      <w:docPartBody>
        <w:p>
          <w:r>
            <w:rPr>
              <w:color w:val="808080"/>
            </w:rPr>
            <w:t>单击此处输入文字。</w:t>
          </w:r>
        </w:p>
      </w:docPartBody>
    </w:docPart>
    <w:docPart>
      <w:docPartPr>
        <w:name w:val="{088cd937-f6bb-4d80-bd47-c763b59d9a8d}"/>
        <w:style w:val=""/>
        <w:category>
          <w:name w:val="常规"/>
          <w:gallery w:val="placeholder"/>
        </w:category>
        <w:types>
          <w:type w:val="bbPlcHdr"/>
        </w:types>
        <w:behaviors>
          <w:behavior w:val="content"/>
        </w:behaviors>
        <w:description w:val=""/>
        <w:guid w:val="{088CD937-F6BB-4D80-BD47-C763B59D9A8D}"/>
      </w:docPartPr>
      <w:docPartBody>
        <w:p>
          <w:r>
            <w:rPr>
              <w:color w:val="808080"/>
            </w:rPr>
            <w:t>单击此处输入文字。</w:t>
          </w:r>
        </w:p>
      </w:docPartBody>
    </w:docPart>
    <w:docPart>
      <w:docPartPr>
        <w:name w:val="{01f70842-c26a-42b1-9257-da3202c7baaf}"/>
        <w:style w:val=""/>
        <w:category>
          <w:name w:val="常规"/>
          <w:gallery w:val="placeholder"/>
        </w:category>
        <w:types>
          <w:type w:val="bbPlcHdr"/>
        </w:types>
        <w:behaviors>
          <w:behavior w:val="content"/>
        </w:behaviors>
        <w:description w:val=""/>
        <w:guid w:val="{01F70842-C26A-42B1-9257-DA3202C7BAAF}"/>
      </w:docPartPr>
      <w:docPartBody>
        <w:p>
          <w:r>
            <w:rPr>
              <w:color w:val="808080"/>
            </w:rPr>
            <w:t>单击此处输入文字。</w:t>
          </w:r>
        </w:p>
      </w:docPartBody>
    </w:docPart>
    <w:docPart>
      <w:docPartPr>
        <w:name w:val="{ca4f9e77-74d5-4586-9f6b-8c111c1ae6a5}"/>
        <w:style w:val=""/>
        <w:category>
          <w:name w:val="常规"/>
          <w:gallery w:val="placeholder"/>
        </w:category>
        <w:types>
          <w:type w:val="bbPlcHdr"/>
        </w:types>
        <w:behaviors>
          <w:behavior w:val="content"/>
        </w:behaviors>
        <w:description w:val=""/>
        <w:guid w:val="{CA4F9E77-74D5-4586-9F6B-8C111C1AE6A5}"/>
      </w:docPartPr>
      <w:docPartBody>
        <w:p>
          <w:r>
            <w:rPr>
              <w:color w:val="808080"/>
            </w:rPr>
            <w:t>单击此处输入文字。</w:t>
          </w:r>
        </w:p>
      </w:docPartBody>
    </w:docPart>
    <w:docPart>
      <w:docPartPr>
        <w:name w:val="{2c43ebb4-5cc5-4134-853c-36b852592f93}"/>
        <w:style w:val=""/>
        <w:category>
          <w:name w:val="常规"/>
          <w:gallery w:val="placeholder"/>
        </w:category>
        <w:types>
          <w:type w:val="bbPlcHdr"/>
        </w:types>
        <w:behaviors>
          <w:behavior w:val="content"/>
        </w:behaviors>
        <w:description w:val=""/>
        <w:guid w:val="{2C43EBB4-5CC5-4134-853C-36B852592F93}"/>
      </w:docPartPr>
      <w:docPartBody>
        <w:p>
          <w:r>
            <w:rPr>
              <w:color w:val="808080"/>
            </w:rPr>
            <w:t>单击此处输入文字。</w:t>
          </w:r>
        </w:p>
      </w:docPartBody>
    </w:docPart>
    <w:docPart>
      <w:docPartPr>
        <w:name w:val="{f1a6fe3f-99fd-40c5-a3fb-9a667a3a1226}"/>
        <w:style w:val=""/>
        <w:category>
          <w:name w:val="常规"/>
          <w:gallery w:val="placeholder"/>
        </w:category>
        <w:types>
          <w:type w:val="bbPlcHdr"/>
        </w:types>
        <w:behaviors>
          <w:behavior w:val="content"/>
        </w:behaviors>
        <w:description w:val=""/>
        <w:guid w:val="{F1A6FE3F-99FD-40C5-A3FB-9A667A3A1226}"/>
      </w:docPartPr>
      <w:docPartBody>
        <w:p>
          <w:r>
            <w:rPr>
              <w:color w:val="808080"/>
            </w:rPr>
            <w:t>单击此处输入文字。</w:t>
          </w:r>
        </w:p>
      </w:docPartBody>
    </w:docPart>
    <w:docPart>
      <w:docPartPr>
        <w:name w:val="{ed5e20be-94c0-4516-9e09-1ffd6d4edcb5}"/>
        <w:style w:val=""/>
        <w:category>
          <w:name w:val="常规"/>
          <w:gallery w:val="placeholder"/>
        </w:category>
        <w:types>
          <w:type w:val="bbPlcHdr"/>
        </w:types>
        <w:behaviors>
          <w:behavior w:val="content"/>
        </w:behaviors>
        <w:description w:val=""/>
        <w:guid w:val="{ED5E20BE-94C0-4516-9E09-1FFD6D4EDCB5}"/>
      </w:docPartPr>
      <w:docPartBody>
        <w:p>
          <w:r>
            <w:rPr>
              <w:color w:val="808080"/>
            </w:rPr>
            <w:t>单击此处输入文字。</w:t>
          </w:r>
        </w:p>
      </w:docPartBody>
    </w:docPart>
    <w:docPart>
      <w:docPartPr>
        <w:name w:val="{4aa86e53-b936-4315-9af8-f8790b4729ad}"/>
        <w:style w:val=""/>
        <w:category>
          <w:name w:val="常规"/>
          <w:gallery w:val="placeholder"/>
        </w:category>
        <w:types>
          <w:type w:val="bbPlcHdr"/>
        </w:types>
        <w:behaviors>
          <w:behavior w:val="content"/>
        </w:behaviors>
        <w:description w:val=""/>
        <w:guid w:val="{4AA86E53-B936-4315-9AF8-F8790B4729AD}"/>
      </w:docPartPr>
      <w:docPartBody>
        <w:p>
          <w:r>
            <w:rPr>
              <w:color w:val="808080"/>
            </w:rPr>
            <w:t>单击此处输入文字。</w:t>
          </w:r>
        </w:p>
      </w:docPartBody>
    </w:docPart>
    <w:docPart>
      <w:docPartPr>
        <w:name w:val="{e9f2db86-1b21-4167-998e-5218cddfd26c}"/>
        <w:style w:val=""/>
        <w:category>
          <w:name w:val="常规"/>
          <w:gallery w:val="placeholder"/>
        </w:category>
        <w:types>
          <w:type w:val="bbPlcHdr"/>
        </w:types>
        <w:behaviors>
          <w:behavior w:val="content"/>
        </w:behaviors>
        <w:description w:val=""/>
        <w:guid w:val="{E9F2DB86-1B21-4167-998E-5218CDDFD26C}"/>
      </w:docPartPr>
      <w:docPartBody>
        <w:p>
          <w:r>
            <w:rPr>
              <w:color w:val="808080"/>
            </w:rPr>
            <w:t>单击此处输入文字。</w:t>
          </w:r>
        </w:p>
      </w:docPartBody>
    </w:docPart>
    <w:docPart>
      <w:docPartPr>
        <w:name w:val="{9a7986e7-0ac3-412d-a1a5-8cc6ca55beda}"/>
        <w:style w:val=""/>
        <w:category>
          <w:name w:val="常规"/>
          <w:gallery w:val="placeholder"/>
        </w:category>
        <w:types>
          <w:type w:val="bbPlcHdr"/>
        </w:types>
        <w:behaviors>
          <w:behavior w:val="content"/>
        </w:behaviors>
        <w:description w:val=""/>
        <w:guid w:val="{9A7986E7-0AC3-412D-A1A5-8CC6CA55BEDA}"/>
      </w:docPartPr>
      <w:docPartBody>
        <w:p>
          <w:r>
            <w:rPr>
              <w:color w:val="808080"/>
            </w:rPr>
            <w:t>单击此处输入文字。</w:t>
          </w:r>
        </w:p>
      </w:docPartBody>
    </w:docPart>
    <w:docPart>
      <w:docPartPr>
        <w:name w:val="{b4ea26e2-c963-497e-aafd-39d1beb300b6}"/>
        <w:style w:val=""/>
        <w:category>
          <w:name w:val="常规"/>
          <w:gallery w:val="placeholder"/>
        </w:category>
        <w:types>
          <w:type w:val="bbPlcHdr"/>
        </w:types>
        <w:behaviors>
          <w:behavior w:val="content"/>
        </w:behaviors>
        <w:description w:val=""/>
        <w:guid w:val="{B4EA26E2-C963-497E-AAFD-39D1BEB300B6}"/>
      </w:docPartPr>
      <w:docPartBody>
        <w:p>
          <w:r>
            <w:rPr>
              <w:color w:val="808080"/>
            </w:rPr>
            <w:t>单击此处输入文字。</w:t>
          </w:r>
        </w:p>
      </w:docPartBody>
    </w:docPart>
    <w:docPart>
      <w:docPartPr>
        <w:name w:val="{3eac7238-e332-41e8-a41e-54b98d3d6320}"/>
        <w:style w:val=""/>
        <w:category>
          <w:name w:val="常规"/>
          <w:gallery w:val="placeholder"/>
        </w:category>
        <w:types>
          <w:type w:val="bbPlcHdr"/>
        </w:types>
        <w:behaviors>
          <w:behavior w:val="content"/>
        </w:behaviors>
        <w:description w:val=""/>
        <w:guid w:val="{3EAC7238-E332-41E8-A41E-54B98D3D6320}"/>
      </w:docPartPr>
      <w:docPartBody>
        <w:p>
          <w:r>
            <w:rPr>
              <w:color w:val="808080"/>
            </w:rPr>
            <w:t>单击此处输入文字。</w:t>
          </w:r>
        </w:p>
      </w:docPartBody>
    </w:docPart>
    <w:docPart>
      <w:docPartPr>
        <w:name w:val="{6fd79931-9eb5-4ab8-88bc-9565b000bcad}"/>
        <w:style w:val=""/>
        <w:category>
          <w:name w:val="常规"/>
          <w:gallery w:val="placeholder"/>
        </w:category>
        <w:types>
          <w:type w:val="bbPlcHdr"/>
        </w:types>
        <w:behaviors>
          <w:behavior w:val="content"/>
        </w:behaviors>
        <w:description w:val=""/>
        <w:guid w:val="{6FD79931-9EB5-4AB8-88BC-9565B000BCAD}"/>
      </w:docPartPr>
      <w:docPartBody>
        <w:p>
          <w:r>
            <w:rPr>
              <w:color w:val="808080"/>
            </w:rPr>
            <w:t>单击此处输入文字。</w:t>
          </w:r>
        </w:p>
      </w:docPartBody>
    </w:docPart>
    <w:docPart>
      <w:docPartPr>
        <w:name w:val="{b409cb12-dd70-4dfd-8b5f-a1b2926fd0bd}"/>
        <w:style w:val=""/>
        <w:category>
          <w:name w:val="常规"/>
          <w:gallery w:val="placeholder"/>
        </w:category>
        <w:types>
          <w:type w:val="bbPlcHdr"/>
        </w:types>
        <w:behaviors>
          <w:behavior w:val="content"/>
        </w:behaviors>
        <w:description w:val=""/>
        <w:guid w:val="{B409CB12-DD70-4DFD-8B5F-A1B2926FD0BD}"/>
      </w:docPartPr>
      <w:docPartBody>
        <w:p>
          <w:r>
            <w:rPr>
              <w:color w:val="808080"/>
            </w:rPr>
            <w:t>单击此处输入文字。</w:t>
          </w:r>
        </w:p>
      </w:docPartBody>
    </w:docPart>
    <w:docPart>
      <w:docPartPr>
        <w:name w:val="{58f78fc9-5554-461e-aeb5-057efbf95baa}"/>
        <w:style w:val=""/>
        <w:category>
          <w:name w:val="常规"/>
          <w:gallery w:val="placeholder"/>
        </w:category>
        <w:types>
          <w:type w:val="bbPlcHdr"/>
        </w:types>
        <w:behaviors>
          <w:behavior w:val="content"/>
        </w:behaviors>
        <w:description w:val=""/>
        <w:guid w:val="{58F78FC9-5554-461E-AEB5-057EFBF95BAA}"/>
      </w:docPartPr>
      <w:docPartBody>
        <w:p>
          <w:r>
            <w:rPr>
              <w:color w:val="808080"/>
            </w:rPr>
            <w:t>单击此处输入文字。</w:t>
          </w:r>
        </w:p>
      </w:docPartBody>
    </w:docPart>
    <w:docPart>
      <w:docPartPr>
        <w:name w:val="{405523bc-0492-4904-acba-d5765d594fb2}"/>
        <w:style w:val=""/>
        <w:category>
          <w:name w:val="常规"/>
          <w:gallery w:val="placeholder"/>
        </w:category>
        <w:types>
          <w:type w:val="bbPlcHdr"/>
        </w:types>
        <w:behaviors>
          <w:behavior w:val="content"/>
        </w:behaviors>
        <w:description w:val=""/>
        <w:guid w:val="{405523BC-0492-4904-ACBA-D5765D594FB2}"/>
      </w:docPartPr>
      <w:docPartBody>
        <w:p>
          <w:r>
            <w:rPr>
              <w:color w:val="808080"/>
            </w:rPr>
            <w:t>单击此处输入文字。</w:t>
          </w:r>
        </w:p>
      </w:docPartBody>
    </w:docPart>
    <w:docPart>
      <w:docPartPr>
        <w:name w:val="{0be7ebb4-6a1d-434b-a485-8c803623d5ea}"/>
        <w:style w:val=""/>
        <w:category>
          <w:name w:val="常规"/>
          <w:gallery w:val="placeholder"/>
        </w:category>
        <w:types>
          <w:type w:val="bbPlcHdr"/>
        </w:types>
        <w:behaviors>
          <w:behavior w:val="content"/>
        </w:behaviors>
        <w:description w:val=""/>
        <w:guid w:val="{0BE7EBB4-6A1D-434B-A485-8C803623D5EA}"/>
      </w:docPartPr>
      <w:docPartBody>
        <w:p>
          <w:r>
            <w:rPr>
              <w:color w:val="808080"/>
            </w:rPr>
            <w:t>单击此处输入文字。</w:t>
          </w:r>
        </w:p>
      </w:docPartBody>
    </w:docPart>
    <w:docPart>
      <w:docPartPr>
        <w:name w:val="{a1355cf4-790a-4c48-9644-edf5ddbcecd3}"/>
        <w:style w:val=""/>
        <w:category>
          <w:name w:val="常规"/>
          <w:gallery w:val="placeholder"/>
        </w:category>
        <w:types>
          <w:type w:val="bbPlcHdr"/>
        </w:types>
        <w:behaviors>
          <w:behavior w:val="content"/>
        </w:behaviors>
        <w:description w:val=""/>
        <w:guid w:val="{A1355CF4-790A-4C48-9644-EDF5DDBCECD3}"/>
      </w:docPartPr>
      <w:docPartBody>
        <w:p>
          <w:r>
            <w:rPr>
              <w:color w:val="808080"/>
            </w:rPr>
            <w:t>单击此处输入文字。</w:t>
          </w:r>
        </w:p>
      </w:docPartBody>
    </w:docPart>
    <w:docPart>
      <w:docPartPr>
        <w:name w:val="{4b3dcb39-fda6-4451-8c23-ee839a340930}"/>
        <w:style w:val=""/>
        <w:category>
          <w:name w:val="常规"/>
          <w:gallery w:val="placeholder"/>
        </w:category>
        <w:types>
          <w:type w:val="bbPlcHdr"/>
        </w:types>
        <w:behaviors>
          <w:behavior w:val="content"/>
        </w:behaviors>
        <w:description w:val=""/>
        <w:guid w:val="{4B3DCB39-FDA6-4451-8C23-EE839A340930}"/>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characterSpacingControl w:val="doNotCompress"/>
  <w:compat>
    <w:useFELayout/>
    <w:splitPgBreakAndParaMark/>
    <w:compatSetting w:name="compatibilityMode" w:uri="http://schemas.microsoft.com/office/word" w:val="14"/>
  </w:compat>
  <w:rsids>
    <w:rsidRoot w:val="006217A5"/>
    <w:rsid w:val="003B122D"/>
    <w:rsid w:val="006217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39</Pages>
  <Words>2787</Words>
  <Characters>15890</Characters>
  <Lines>132</Lines>
  <Paragraphs>37</Paragraphs>
  <TotalTime>19</TotalTime>
  <ScaleCrop>false</ScaleCrop>
  <LinksUpToDate>false</LinksUpToDate>
  <CharactersWithSpaces>18640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2020-08-08T09:49:00Z</dcterms:created>
  <dc:creator>曹颖</dc:creator>
  <cp:lastModifiedBy>user</cp:lastModifiedBy>
  <cp:lastPrinted>2023-08-03T10:35:00Z</cp:lastPrinted>
  <dcterms:modified xsi:type="dcterms:W3CDTF">2023-09-14T10:07:08Z</dcterms:modified>
  <dc:title>四川省***</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